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893" w:rsidRDefault="00187CA4">
      <w:pPr>
        <w:adjustRightInd/>
        <w:snapToGrid/>
        <w:spacing w:line="560" w:lineRule="exact"/>
        <w:ind w:firstLineChars="0" w:firstLine="0"/>
        <w:rPr>
          <w:rFonts w:ascii="黑体" w:eastAsia="黑体" w:hAnsi="黑体" w:cs="黑体"/>
        </w:rPr>
      </w:pPr>
      <w:r>
        <w:rPr>
          <w:rFonts w:ascii="黑体" w:eastAsia="黑体" w:hAnsi="黑体" w:cs="黑体" w:hint="eastAsia"/>
        </w:rPr>
        <w:t>附件</w:t>
      </w:r>
    </w:p>
    <w:p w:rsidR="00855893" w:rsidRDefault="00855893">
      <w:pPr>
        <w:adjustRightInd/>
        <w:snapToGrid/>
        <w:spacing w:line="700" w:lineRule="exact"/>
        <w:ind w:firstLineChars="0" w:firstLine="0"/>
        <w:rPr>
          <w:rFonts w:ascii="方正小标宋简体" w:eastAsia="方正小标宋简体" w:hAnsi="方正小标宋简体" w:cs="方正小标宋简体"/>
          <w:sz w:val="44"/>
          <w:szCs w:val="44"/>
        </w:rPr>
      </w:pPr>
    </w:p>
    <w:p w:rsidR="00855893" w:rsidRDefault="00187CA4">
      <w:pPr>
        <w:adjustRightInd/>
        <w:snapToGrid/>
        <w:spacing w:line="700" w:lineRule="exact"/>
        <w:ind w:firstLineChars="0" w:firstLine="0"/>
        <w:jc w:val="center"/>
        <w:rPr>
          <w:rFonts w:ascii="方正小标宋简体" w:eastAsia="方正小标宋简体" w:hAnsi="方正小标宋简体" w:cs="方正小标宋简体"/>
          <w:sz w:val="44"/>
          <w:szCs w:val="44"/>
        </w:rPr>
      </w:pPr>
      <w:bookmarkStart w:id="0" w:name="_GoBack"/>
      <w:r>
        <w:rPr>
          <w:rFonts w:ascii="方正小标宋简体" w:eastAsia="方正小标宋简体" w:hAnsi="方正小标宋简体" w:cs="方正小标宋简体" w:hint="eastAsia"/>
          <w:sz w:val="44"/>
          <w:szCs w:val="44"/>
        </w:rPr>
        <w:t>淮安市</w:t>
      </w:r>
      <w:r>
        <w:rPr>
          <w:rFonts w:ascii="方正小标宋简体" w:eastAsia="方正小标宋简体" w:hAnsi="方正小标宋简体" w:cs="方正小标宋简体" w:hint="eastAsia"/>
          <w:sz w:val="44"/>
          <w:szCs w:val="44"/>
        </w:rPr>
        <w:t>深化</w:t>
      </w:r>
      <w:r>
        <w:rPr>
          <w:rFonts w:ascii="方正小标宋简体" w:eastAsia="方正小标宋简体" w:hAnsi="方正小标宋简体" w:cs="方正小标宋简体" w:hint="eastAsia"/>
          <w:sz w:val="44"/>
          <w:szCs w:val="44"/>
        </w:rPr>
        <w:t>工程建设项目审批制度</w:t>
      </w:r>
    </w:p>
    <w:p w:rsidR="00855893" w:rsidRDefault="00187CA4">
      <w:pPr>
        <w:adjustRightInd/>
        <w:snapToGrid/>
        <w:spacing w:line="700" w:lineRule="exact"/>
        <w:ind w:firstLineChars="0"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改革工作要点</w:t>
      </w:r>
    </w:p>
    <w:bookmarkEnd w:id="0"/>
    <w:p w:rsidR="00855893" w:rsidRDefault="00187CA4">
      <w:pPr>
        <w:adjustRightInd/>
        <w:snapToGrid/>
        <w:spacing w:line="700" w:lineRule="exact"/>
        <w:ind w:firstLineChars="0" w:firstLine="0"/>
        <w:jc w:val="center"/>
        <w:rPr>
          <w:rFonts w:ascii="楷体" w:eastAsia="楷体" w:hAnsi="楷体" w:cs="楷体"/>
          <w:spacing w:val="0"/>
          <w:kern w:val="0"/>
        </w:rPr>
      </w:pPr>
      <w:r>
        <w:rPr>
          <w:rFonts w:ascii="楷体" w:eastAsia="楷体" w:hAnsi="楷体" w:cs="楷体" w:hint="eastAsia"/>
          <w:spacing w:val="0"/>
          <w:kern w:val="0"/>
        </w:rPr>
        <w:t>（征求意见稿）</w:t>
      </w:r>
    </w:p>
    <w:p w:rsidR="00855893" w:rsidRDefault="00855893">
      <w:pPr>
        <w:adjustRightInd/>
        <w:snapToGrid/>
        <w:spacing w:line="560" w:lineRule="exact"/>
        <w:ind w:firstLine="616"/>
        <w:rPr>
          <w:rFonts w:cs="仿宋"/>
        </w:rPr>
      </w:pPr>
    </w:p>
    <w:p w:rsidR="00855893" w:rsidRDefault="00187CA4">
      <w:pPr>
        <w:adjustRightInd/>
        <w:snapToGrid/>
        <w:spacing w:line="560" w:lineRule="exact"/>
        <w:ind w:firstLine="616"/>
        <w:rPr>
          <w:rFonts w:cs="仿宋"/>
        </w:rPr>
      </w:pPr>
      <w:r>
        <w:rPr>
          <w:rFonts w:cs="仿宋" w:hint="eastAsia"/>
        </w:rPr>
        <w:t>为贯彻落实国家和省关于优化政务服务、推动“高效办成一件事”决策部署，进一步提升工程建设项目审批标准化规范化便利化水平，结合</w:t>
      </w:r>
      <w:proofErr w:type="gramStart"/>
      <w:r>
        <w:rPr>
          <w:rFonts w:cs="仿宋" w:hint="eastAsia"/>
        </w:rPr>
        <w:t>省住建厅工程</w:t>
      </w:r>
      <w:proofErr w:type="gramEnd"/>
      <w:r>
        <w:rPr>
          <w:rFonts w:cs="仿宋" w:hint="eastAsia"/>
        </w:rPr>
        <w:t>建设项目审批制度改革提升工作部署和市委、市政府重点任务分工，现制定淮安市</w:t>
      </w:r>
      <w:r>
        <w:rPr>
          <w:rFonts w:cs="仿宋" w:hint="eastAsia"/>
        </w:rPr>
        <w:t>深化</w:t>
      </w:r>
      <w:r>
        <w:rPr>
          <w:rFonts w:cs="仿宋" w:hint="eastAsia"/>
        </w:rPr>
        <w:t>工程建设项目审批制度改革工作要点。</w:t>
      </w:r>
    </w:p>
    <w:p w:rsidR="00855893" w:rsidRDefault="00187CA4">
      <w:pPr>
        <w:adjustRightInd/>
        <w:snapToGrid/>
        <w:spacing w:line="560" w:lineRule="exact"/>
        <w:ind w:firstLine="618"/>
        <w:rPr>
          <w:rFonts w:cs="仿宋"/>
        </w:rPr>
      </w:pPr>
      <w:r>
        <w:rPr>
          <w:rFonts w:cs="仿宋"/>
          <w:b/>
          <w:bCs/>
        </w:rPr>
        <w:t>1</w:t>
      </w:r>
      <w:r>
        <w:rPr>
          <w:rFonts w:cs="仿宋" w:hint="eastAsia"/>
          <w:b/>
          <w:bCs/>
        </w:rPr>
        <w:t>.</w:t>
      </w:r>
      <w:r>
        <w:rPr>
          <w:rFonts w:cs="仿宋" w:hint="eastAsia"/>
          <w:b/>
          <w:bCs/>
        </w:rPr>
        <w:t>巩固全流程审批服务机制。</w:t>
      </w:r>
      <w:r>
        <w:rPr>
          <w:rFonts w:cs="仿宋" w:hint="eastAsia"/>
        </w:rPr>
        <w:t>全面落实“企业</w:t>
      </w:r>
      <w:proofErr w:type="gramStart"/>
      <w:r>
        <w:rPr>
          <w:rFonts w:cs="仿宋" w:hint="eastAsia"/>
        </w:rPr>
        <w:t>极</w:t>
      </w:r>
      <w:proofErr w:type="gramEnd"/>
      <w:r>
        <w:rPr>
          <w:rFonts w:cs="仿宋" w:hint="eastAsia"/>
        </w:rPr>
        <w:t>简申报、部门极速审批、政府极优服务”工作机制。依据淮安市工程建设项目审批事项清单、四个阶段“一张表单”和分类审批流程图开展项目申报工作，相关的审批事项统一集成至市工改系统线上申报，线下均纳入本级政务服务中心或分中心集中受理；在项目审批服务过程中，综合运用</w:t>
      </w:r>
      <w:r>
        <w:rPr>
          <w:rFonts w:ascii="Times New Roman" w:hAnsi="Times New Roman" w:hint="eastAsia"/>
        </w:rPr>
        <w:t>“并联审</w:t>
      </w:r>
      <w:r>
        <w:rPr>
          <w:rFonts w:ascii="Times New Roman" w:hAnsi="Times New Roman" w:hint="eastAsia"/>
        </w:rPr>
        <w:t>+</w:t>
      </w:r>
      <w:r>
        <w:rPr>
          <w:rFonts w:ascii="Times New Roman" w:hAnsi="Times New Roman" w:hint="eastAsia"/>
        </w:rPr>
        <w:t>容缺办”</w:t>
      </w:r>
      <w:r>
        <w:rPr>
          <w:rFonts w:cs="仿宋" w:hint="eastAsia"/>
        </w:rPr>
        <w:t>“减材料</w:t>
      </w:r>
      <w:r>
        <w:rPr>
          <w:rFonts w:cs="仿宋" w:hint="eastAsia"/>
        </w:rPr>
        <w:t>+</w:t>
      </w:r>
      <w:r>
        <w:rPr>
          <w:rFonts w:cs="仿宋" w:hint="eastAsia"/>
        </w:rPr>
        <w:t>免证照”“提前预警</w:t>
      </w:r>
      <w:r>
        <w:rPr>
          <w:rFonts w:cs="仿宋" w:hint="eastAsia"/>
        </w:rPr>
        <w:t>+</w:t>
      </w:r>
      <w:r>
        <w:rPr>
          <w:rFonts w:cs="仿宋" w:hint="eastAsia"/>
        </w:rPr>
        <w:t>超时默认</w:t>
      </w:r>
      <w:r>
        <w:rPr>
          <w:rFonts w:cs="仿宋" w:hint="eastAsia"/>
        </w:rPr>
        <w:t>+</w:t>
      </w:r>
      <w:r>
        <w:rPr>
          <w:rFonts w:cs="仿宋" w:hint="eastAsia"/>
        </w:rPr>
        <w:t>限时办结”“桩基先行分段施工许可”等改革举措加速事项办理；依托项目招引、审批服务全链帮代办、重大项目用地保障、“助建工作站”等服务专班，实现重大项目从签约到投产的全链条服务；在工程建设</w:t>
      </w:r>
      <w:r>
        <w:rPr>
          <w:rFonts w:cs="仿宋" w:hint="eastAsia"/>
        </w:rPr>
        <w:t>项目审批领域</w:t>
      </w:r>
      <w:r>
        <w:rPr>
          <w:rFonts w:cs="仿宋"/>
        </w:rPr>
        <w:t>强化落实市级机关挂钩县区营商服务专员和行政审批</w:t>
      </w:r>
      <w:r>
        <w:rPr>
          <w:rFonts w:cs="仿宋"/>
        </w:rPr>
        <w:t>“</w:t>
      </w:r>
      <w:r>
        <w:rPr>
          <w:rFonts w:cs="仿宋"/>
        </w:rPr>
        <w:t>不同意</w:t>
      </w:r>
      <w:r>
        <w:rPr>
          <w:rFonts w:cs="仿宋"/>
        </w:rPr>
        <w:t>”</w:t>
      </w:r>
      <w:r>
        <w:rPr>
          <w:rFonts w:cs="仿宋"/>
        </w:rPr>
        <w:t>事项报备制度，杜绝在项目审批服务中不</w:t>
      </w:r>
      <w:r>
        <w:rPr>
          <w:rFonts w:cs="仿宋"/>
        </w:rPr>
        <w:lastRenderedPageBreak/>
        <w:t>作为、乱作为、推诿和拖延等问题的发生。</w:t>
      </w:r>
      <w:r>
        <w:rPr>
          <w:rFonts w:ascii="Times New Roman" w:eastAsia="方正楷体_GBK" w:hAnsi="楷体" w:hint="eastAsia"/>
          <w:color w:val="000000"/>
          <w:kern w:val="0"/>
          <w:lang w:bidi="ar"/>
        </w:rPr>
        <w:t>（责任单位：</w:t>
      </w:r>
      <w:proofErr w:type="gramStart"/>
      <w:r>
        <w:rPr>
          <w:rFonts w:ascii="Times New Roman" w:eastAsia="方正楷体_GBK" w:hAnsi="楷体" w:hint="eastAsia"/>
          <w:color w:val="000000"/>
          <w:kern w:val="0"/>
          <w:lang w:bidi="ar"/>
        </w:rPr>
        <w:t>市发改委</w:t>
      </w:r>
      <w:proofErr w:type="gramEnd"/>
      <w:r>
        <w:rPr>
          <w:rFonts w:ascii="Times New Roman" w:eastAsia="方正楷体_GBK" w:hAnsi="楷体" w:hint="eastAsia"/>
          <w:color w:val="000000"/>
          <w:kern w:val="0"/>
          <w:lang w:bidi="ar"/>
        </w:rPr>
        <w:t>、资</w:t>
      </w:r>
      <w:proofErr w:type="gramStart"/>
      <w:r>
        <w:rPr>
          <w:rFonts w:ascii="Times New Roman" w:eastAsia="方正楷体_GBK" w:hAnsi="楷体" w:hint="eastAsia"/>
          <w:color w:val="000000"/>
          <w:kern w:val="0"/>
          <w:lang w:bidi="ar"/>
        </w:rPr>
        <w:t>规</w:t>
      </w:r>
      <w:proofErr w:type="gramEnd"/>
      <w:r>
        <w:rPr>
          <w:rFonts w:ascii="Times New Roman" w:eastAsia="方正楷体_GBK" w:hAnsi="楷体" w:hint="eastAsia"/>
          <w:color w:val="000000"/>
          <w:kern w:val="0"/>
          <w:lang w:bidi="ar"/>
        </w:rPr>
        <w:t>局、生态环境局、住建局、城管局、交通局、水利局、应急局、数据局，各县区人民政府、园区管委会，以下内容均需各县区园区落实，不再单独列出）</w:t>
      </w:r>
      <w:r>
        <w:rPr>
          <w:rFonts w:ascii="Times New Roman" w:eastAsia="方正楷体_GBK" w:hint="eastAsia"/>
          <w:color w:val="000000"/>
          <w:kern w:val="0"/>
          <w:lang w:bidi="ar"/>
        </w:rPr>
        <w:t xml:space="preserve"> </w:t>
      </w:r>
    </w:p>
    <w:p w:rsidR="00855893" w:rsidRDefault="00187CA4">
      <w:pPr>
        <w:adjustRightInd/>
        <w:snapToGrid/>
        <w:spacing w:line="560" w:lineRule="exact"/>
        <w:ind w:firstLine="618"/>
        <w:rPr>
          <w:rFonts w:cs="仿宋"/>
        </w:rPr>
      </w:pPr>
      <w:r>
        <w:rPr>
          <w:rFonts w:cs="仿宋"/>
          <w:b/>
          <w:bCs/>
        </w:rPr>
        <w:t>2</w:t>
      </w:r>
      <w:r>
        <w:rPr>
          <w:rFonts w:cs="仿宋" w:hint="eastAsia"/>
          <w:b/>
          <w:bCs/>
        </w:rPr>
        <w:t>.</w:t>
      </w:r>
      <w:r>
        <w:rPr>
          <w:rFonts w:cs="仿宋" w:hint="eastAsia"/>
          <w:b/>
          <w:bCs/>
        </w:rPr>
        <w:t>深化全链条高效审批模式。</w:t>
      </w:r>
      <w:r>
        <w:rPr>
          <w:rFonts w:cs="仿宋" w:hint="eastAsia"/>
        </w:rPr>
        <w:t>常态化开展“交地即发证”“拿地即开工”“建成即验收”“竣工即交付”“四即”高效审批服务模式。实施“交地即发证”，同步核发用地规划证、工程</w:t>
      </w:r>
      <w:proofErr w:type="gramStart"/>
      <w:r>
        <w:rPr>
          <w:rFonts w:cs="仿宋" w:hint="eastAsia"/>
        </w:rPr>
        <w:t>规划证</w:t>
      </w:r>
      <w:proofErr w:type="gramEnd"/>
      <w:r>
        <w:rPr>
          <w:rFonts w:cs="仿宋" w:hint="eastAsia"/>
        </w:rPr>
        <w:t>和土地不动产权证。拓展“拿地即开工”</w:t>
      </w:r>
      <w:r>
        <w:rPr>
          <w:rFonts w:cs="仿宋" w:hint="eastAsia"/>
        </w:rPr>
        <w:t>，实行项目策划生成、方案设计审查、开工前准备、证照联发分阶段并联审批，在开工前完成能评、环评、安评等前置评估评审事项，用地规划许可、工程规划许可、施工图审查、施工许可、不动产权证</w:t>
      </w:r>
      <w:r>
        <w:rPr>
          <w:rFonts w:cs="仿宋" w:hint="eastAsia"/>
        </w:rPr>
        <w:t>5</w:t>
      </w:r>
      <w:r>
        <w:rPr>
          <w:rFonts w:cs="仿宋" w:hint="eastAsia"/>
        </w:rPr>
        <w:t>个事项一次性办结。深化“建成即验收”，在保障工程质量、安全的前提下，建成一期验收一期，建成一个生产单元验收一个生产单元，合格后即可投入使用。推动“竣工即交付”，针对</w:t>
      </w:r>
      <w:proofErr w:type="gramStart"/>
      <w:r>
        <w:rPr>
          <w:rFonts w:cs="仿宋" w:hint="eastAsia"/>
        </w:rPr>
        <w:t>已整体</w:t>
      </w:r>
      <w:proofErr w:type="gramEnd"/>
      <w:r>
        <w:rPr>
          <w:rFonts w:cs="仿宋" w:hint="eastAsia"/>
        </w:rPr>
        <w:t>建成的单体工程，在联合验收的基础上合并办理产权登记手续，同步核发房屋不动产权证。</w:t>
      </w:r>
      <w:r>
        <w:rPr>
          <w:rFonts w:ascii="楷体" w:eastAsia="楷体" w:hAnsi="楷体" w:cs="楷体" w:hint="eastAsia"/>
        </w:rPr>
        <w:t>（</w:t>
      </w:r>
      <w:r>
        <w:rPr>
          <w:rFonts w:ascii="Times New Roman" w:eastAsia="方正楷体_GBK" w:hAnsi="楷体" w:hint="eastAsia"/>
          <w:color w:val="000000"/>
          <w:kern w:val="0"/>
          <w:lang w:bidi="ar"/>
        </w:rPr>
        <w:t>责任单位</w:t>
      </w:r>
      <w:r>
        <w:rPr>
          <w:rFonts w:ascii="楷体" w:eastAsia="楷体" w:hAnsi="楷体" w:cs="楷体" w:hint="eastAsia"/>
        </w:rPr>
        <w:t>：市资</w:t>
      </w:r>
      <w:proofErr w:type="gramStart"/>
      <w:r>
        <w:rPr>
          <w:rFonts w:ascii="楷体" w:eastAsia="楷体" w:hAnsi="楷体" w:cs="楷体" w:hint="eastAsia"/>
        </w:rPr>
        <w:t>规</w:t>
      </w:r>
      <w:proofErr w:type="gramEnd"/>
      <w:r>
        <w:rPr>
          <w:rFonts w:ascii="楷体" w:eastAsia="楷体" w:hAnsi="楷体" w:cs="楷体" w:hint="eastAsia"/>
        </w:rPr>
        <w:t>局、住建局、数据局）</w:t>
      </w:r>
      <w:r>
        <w:rPr>
          <w:rFonts w:ascii="楷体" w:eastAsia="楷体" w:hAnsi="楷体" w:cs="楷体" w:hint="eastAsia"/>
        </w:rPr>
        <w:t xml:space="preserve"> </w:t>
      </w:r>
    </w:p>
    <w:p w:rsidR="00855893" w:rsidRDefault="00187CA4">
      <w:pPr>
        <w:adjustRightInd/>
        <w:snapToGrid/>
        <w:spacing w:line="560" w:lineRule="exact"/>
        <w:ind w:firstLine="618"/>
        <w:rPr>
          <w:rFonts w:cs="仿宋"/>
        </w:rPr>
      </w:pPr>
      <w:r>
        <w:rPr>
          <w:rFonts w:cs="仿宋" w:hint="eastAsia"/>
          <w:b/>
          <w:bCs/>
        </w:rPr>
        <w:t>3.</w:t>
      </w:r>
      <w:r>
        <w:rPr>
          <w:rFonts w:cs="仿宋" w:hint="eastAsia"/>
          <w:b/>
          <w:bCs/>
        </w:rPr>
        <w:t>贯彻国家和省“高效办成一件事”改革部署。</w:t>
      </w:r>
      <w:r>
        <w:rPr>
          <w:rFonts w:cs="仿宋" w:hint="eastAsia"/>
        </w:rPr>
        <w:t>高标准贯彻落实“水电气联合报装”“建设项目开工”“固定资产投资项目审批”“建设项目联合验收”等国家和省一件事改革部署，相关事项牵头部门加强组织实施，统一事项名称、申请材料、受理条件、办理流程，优化申请表单、申报方式、审核程序、发证方式</w:t>
      </w:r>
      <w:r>
        <w:rPr>
          <w:rFonts w:cs="仿宋"/>
        </w:rPr>
        <w:t>，实现</w:t>
      </w:r>
      <w:r>
        <w:rPr>
          <w:rFonts w:cs="仿宋"/>
        </w:rPr>
        <w:t>“</w:t>
      </w:r>
      <w:r>
        <w:rPr>
          <w:rFonts w:cs="仿宋"/>
        </w:rPr>
        <w:t>一次告知、一表申请、一套材料、一窗（端）受理、一网办理</w:t>
      </w:r>
      <w:r>
        <w:rPr>
          <w:rFonts w:cs="仿宋"/>
        </w:rPr>
        <w:t>”</w:t>
      </w:r>
      <w:r>
        <w:rPr>
          <w:rFonts w:cs="仿宋"/>
        </w:rPr>
        <w:t>。</w:t>
      </w:r>
      <w:r>
        <w:rPr>
          <w:rFonts w:cs="仿宋" w:hint="eastAsia"/>
        </w:rPr>
        <w:t>常态化监测国家和省“高效办成一件事”事项办理质效，</w:t>
      </w:r>
      <w:r>
        <w:rPr>
          <w:rFonts w:cs="仿宋"/>
        </w:rPr>
        <w:t>主动发现问题</w:t>
      </w:r>
      <w:r>
        <w:rPr>
          <w:rFonts w:cs="仿宋"/>
        </w:rPr>
        <w:lastRenderedPageBreak/>
        <w:t>并及时解决，持续优化业务流程、完善系统功能，</w:t>
      </w:r>
      <w:r>
        <w:rPr>
          <w:rFonts w:cs="仿宋" w:hint="eastAsia"/>
        </w:rPr>
        <w:t>切实</w:t>
      </w:r>
      <w:r>
        <w:rPr>
          <w:rFonts w:cs="仿宋"/>
        </w:rPr>
        <w:t>压减整体办理时长和跑动次数，</w:t>
      </w:r>
      <w:r>
        <w:rPr>
          <w:rFonts w:cs="仿宋" w:hint="eastAsia"/>
        </w:rPr>
        <w:t>增强</w:t>
      </w:r>
      <w:r>
        <w:rPr>
          <w:rFonts w:cs="仿宋"/>
        </w:rPr>
        <w:t>经营主体获得感、满意度。</w:t>
      </w:r>
      <w:r>
        <w:rPr>
          <w:rFonts w:ascii="Times New Roman" w:eastAsia="方正楷体_GBK" w:hAnsi="楷体" w:hint="eastAsia"/>
          <w:color w:val="000000"/>
          <w:kern w:val="0"/>
          <w:lang w:bidi="ar"/>
        </w:rPr>
        <w:t>（</w:t>
      </w:r>
      <w:r>
        <w:rPr>
          <w:rFonts w:ascii="Times New Roman" w:eastAsia="方正楷体_GBK" w:hAnsi="楷体" w:hint="eastAsia"/>
          <w:color w:val="000000"/>
          <w:kern w:val="0"/>
          <w:lang w:bidi="ar"/>
        </w:rPr>
        <w:t>责任单位：</w:t>
      </w:r>
      <w:proofErr w:type="gramStart"/>
      <w:r>
        <w:rPr>
          <w:rFonts w:ascii="Times New Roman" w:eastAsia="方正楷体_GBK" w:hAnsi="楷体" w:hint="eastAsia"/>
          <w:color w:val="000000"/>
          <w:kern w:val="0"/>
          <w:lang w:bidi="ar"/>
        </w:rPr>
        <w:t>市发改委</w:t>
      </w:r>
      <w:proofErr w:type="gramEnd"/>
      <w:r>
        <w:rPr>
          <w:rFonts w:ascii="Times New Roman" w:eastAsia="方正楷体_GBK" w:hAnsi="楷体" w:hint="eastAsia"/>
          <w:color w:val="000000"/>
          <w:kern w:val="0"/>
          <w:lang w:bidi="ar"/>
        </w:rPr>
        <w:t>、资</w:t>
      </w:r>
      <w:proofErr w:type="gramStart"/>
      <w:r>
        <w:rPr>
          <w:rFonts w:ascii="Times New Roman" w:eastAsia="方正楷体_GBK" w:hAnsi="楷体" w:hint="eastAsia"/>
          <w:color w:val="000000"/>
          <w:kern w:val="0"/>
          <w:lang w:bidi="ar"/>
        </w:rPr>
        <w:t>规</w:t>
      </w:r>
      <w:proofErr w:type="gramEnd"/>
      <w:r>
        <w:rPr>
          <w:rFonts w:ascii="Times New Roman" w:eastAsia="方正楷体_GBK" w:hAnsi="楷体" w:hint="eastAsia"/>
          <w:color w:val="000000"/>
          <w:kern w:val="0"/>
          <w:lang w:bidi="ar"/>
        </w:rPr>
        <w:t>局、住建局、数据局）</w:t>
      </w:r>
      <w:r>
        <w:rPr>
          <w:rFonts w:ascii="Times New Roman" w:eastAsia="方正楷体_GBK" w:hAnsi="楷体" w:hint="eastAsia"/>
          <w:color w:val="000000"/>
          <w:kern w:val="0"/>
          <w:lang w:bidi="ar"/>
        </w:rPr>
        <w:t xml:space="preserve"> </w:t>
      </w:r>
    </w:p>
    <w:p w:rsidR="00855893" w:rsidRDefault="00187CA4">
      <w:pPr>
        <w:adjustRightInd/>
        <w:snapToGrid/>
        <w:spacing w:line="560" w:lineRule="exact"/>
        <w:ind w:firstLine="618"/>
        <w:rPr>
          <w:rFonts w:cs="仿宋"/>
        </w:rPr>
      </w:pPr>
      <w:r>
        <w:rPr>
          <w:rFonts w:cs="仿宋" w:hint="eastAsia"/>
          <w:b/>
          <w:bCs/>
        </w:rPr>
        <w:t>4.</w:t>
      </w:r>
      <w:r>
        <w:rPr>
          <w:rFonts w:cs="仿宋" w:hint="eastAsia"/>
          <w:b/>
          <w:bCs/>
        </w:rPr>
        <w:t>提升市级“高效办成一件事”改革实效。</w:t>
      </w:r>
      <w:r>
        <w:rPr>
          <w:rFonts w:cs="仿宋" w:hint="eastAsia"/>
        </w:rPr>
        <w:t>以更好推动项目早开工、快达效为出发点和落脚点，进一步优化整合“占用、挖掘城市道路”“输变电服务”</w:t>
      </w:r>
      <w:r>
        <w:rPr>
          <w:rFonts w:ascii="Times New Roman" w:eastAsia="方正仿宋_GBK" w:hAnsi="Times New Roman" w:hint="eastAsia"/>
        </w:rPr>
        <w:t>“</w:t>
      </w:r>
      <w:r>
        <w:rPr>
          <w:rFonts w:ascii="Times New Roman" w:eastAsia="方正仿宋_GBK" w:hint="eastAsia"/>
        </w:rPr>
        <w:t>联合评审</w:t>
      </w:r>
      <w:r>
        <w:rPr>
          <w:rFonts w:ascii="Times New Roman" w:eastAsia="方正仿宋_GBK" w:hAnsi="Times New Roman" w:hint="eastAsia"/>
        </w:rPr>
        <w:t>”</w:t>
      </w:r>
      <w:r>
        <w:rPr>
          <w:rFonts w:ascii="Times New Roman" w:eastAsia="方正仿宋_GBK" w:hint="eastAsia"/>
          <w:color w:val="000000"/>
        </w:rPr>
        <w:t>“数字化联合图审”“工程建设领域中介服务”等</w:t>
      </w:r>
      <w:r>
        <w:rPr>
          <w:rFonts w:cs="仿宋" w:hint="eastAsia"/>
        </w:rPr>
        <w:t>市级“高效办成一件事”相关事项</w:t>
      </w:r>
      <w:r>
        <w:rPr>
          <w:rFonts w:cs="仿宋"/>
        </w:rPr>
        <w:t>，推动</w:t>
      </w:r>
      <w:r>
        <w:rPr>
          <w:rFonts w:cs="仿宋"/>
        </w:rPr>
        <w:t>“</w:t>
      </w:r>
      <w:r>
        <w:rPr>
          <w:rFonts w:cs="仿宋"/>
        </w:rPr>
        <w:t>高效办成一件事</w:t>
      </w:r>
      <w:r>
        <w:rPr>
          <w:rFonts w:cs="仿宋"/>
        </w:rPr>
        <w:t>”</w:t>
      </w:r>
      <w:r>
        <w:rPr>
          <w:rFonts w:cs="仿宋"/>
        </w:rPr>
        <w:t>从</w:t>
      </w:r>
      <w:r>
        <w:rPr>
          <w:rFonts w:cs="仿宋"/>
        </w:rPr>
        <w:t>“</w:t>
      </w:r>
      <w:r>
        <w:rPr>
          <w:rFonts w:cs="仿宋"/>
        </w:rPr>
        <w:t>能办</w:t>
      </w:r>
      <w:r>
        <w:rPr>
          <w:rFonts w:cs="仿宋"/>
        </w:rPr>
        <w:t>”</w:t>
      </w:r>
      <w:r>
        <w:rPr>
          <w:rFonts w:cs="仿宋"/>
        </w:rPr>
        <w:t>向</w:t>
      </w:r>
      <w:r>
        <w:rPr>
          <w:rFonts w:cs="仿宋"/>
        </w:rPr>
        <w:t>“</w:t>
      </w:r>
      <w:r>
        <w:rPr>
          <w:rFonts w:cs="仿宋"/>
        </w:rPr>
        <w:t>好办、易办</w:t>
      </w:r>
      <w:r>
        <w:rPr>
          <w:rFonts w:cs="仿宋"/>
        </w:rPr>
        <w:t>”</w:t>
      </w:r>
      <w:r>
        <w:rPr>
          <w:rFonts w:cs="仿宋"/>
        </w:rPr>
        <w:t>转变。</w:t>
      </w:r>
      <w:r>
        <w:rPr>
          <w:rFonts w:cs="仿宋" w:hint="eastAsia"/>
        </w:rPr>
        <w:t>针对部分办件量低、经营主体</w:t>
      </w:r>
      <w:proofErr w:type="gramStart"/>
      <w:r>
        <w:rPr>
          <w:rFonts w:cs="仿宋" w:hint="eastAsia"/>
        </w:rPr>
        <w:t>感知度弱的</w:t>
      </w:r>
      <w:proofErr w:type="gramEnd"/>
      <w:r>
        <w:rPr>
          <w:rFonts w:cs="仿宋" w:hint="eastAsia"/>
        </w:rPr>
        <w:t>市级“一件事”，经评估后可实施挂起。聚焦办理量大、覆盖面广、关联性强的应用场景，探索将部分“高效办成一件事”进一步整合为“高效办成一类事”，推进跨部门</w:t>
      </w:r>
      <w:r>
        <w:rPr>
          <w:rFonts w:cs="仿宋" w:hint="eastAsia"/>
        </w:rPr>
        <w:t>关联事项集成办理，</w:t>
      </w:r>
      <w:r>
        <w:rPr>
          <w:rFonts w:cs="仿宋"/>
        </w:rPr>
        <w:t>推动从解决一个诉求向破解一类问题转变。</w:t>
      </w:r>
      <w:r>
        <w:rPr>
          <w:rFonts w:ascii="Times New Roman" w:eastAsia="方正楷体_GBK" w:hAnsi="楷体" w:hint="eastAsia"/>
          <w:color w:val="000000"/>
          <w:kern w:val="0"/>
          <w:lang w:bidi="ar"/>
        </w:rPr>
        <w:t>（责任单位：市数据局、</w:t>
      </w:r>
      <w:proofErr w:type="gramStart"/>
      <w:r>
        <w:rPr>
          <w:rFonts w:ascii="Times New Roman" w:eastAsia="方正楷体_GBK" w:hAnsi="楷体" w:hint="eastAsia"/>
          <w:color w:val="000000"/>
          <w:kern w:val="0"/>
          <w:lang w:bidi="ar"/>
        </w:rPr>
        <w:t>发改委</w:t>
      </w:r>
      <w:proofErr w:type="gramEnd"/>
      <w:r>
        <w:rPr>
          <w:rFonts w:ascii="Times New Roman" w:eastAsia="方正楷体_GBK" w:hAnsi="楷体" w:hint="eastAsia"/>
          <w:color w:val="000000"/>
          <w:kern w:val="0"/>
          <w:lang w:bidi="ar"/>
        </w:rPr>
        <w:t>、资</w:t>
      </w:r>
      <w:proofErr w:type="gramStart"/>
      <w:r>
        <w:rPr>
          <w:rFonts w:ascii="Times New Roman" w:eastAsia="方正楷体_GBK" w:hAnsi="楷体" w:hint="eastAsia"/>
          <w:color w:val="000000"/>
          <w:kern w:val="0"/>
          <w:lang w:bidi="ar"/>
        </w:rPr>
        <w:t>规</w:t>
      </w:r>
      <w:proofErr w:type="gramEnd"/>
      <w:r>
        <w:rPr>
          <w:rFonts w:ascii="Times New Roman" w:eastAsia="方正楷体_GBK" w:hAnsi="楷体" w:hint="eastAsia"/>
          <w:color w:val="000000"/>
          <w:kern w:val="0"/>
          <w:lang w:bidi="ar"/>
        </w:rPr>
        <w:t>局、住建局）</w:t>
      </w:r>
      <w:r>
        <w:rPr>
          <w:rFonts w:ascii="Times New Roman" w:eastAsia="方正楷体_GBK" w:hAnsi="楷体" w:hint="eastAsia"/>
          <w:color w:val="000000"/>
          <w:kern w:val="0"/>
          <w:lang w:bidi="ar"/>
        </w:rPr>
        <w:t xml:space="preserve"> </w:t>
      </w:r>
    </w:p>
    <w:p w:rsidR="00855893" w:rsidRDefault="00187CA4">
      <w:pPr>
        <w:adjustRightInd/>
        <w:snapToGrid/>
        <w:spacing w:line="560" w:lineRule="exact"/>
        <w:ind w:firstLine="618"/>
        <w:rPr>
          <w:rFonts w:cs="仿宋"/>
        </w:rPr>
      </w:pPr>
      <w:r>
        <w:rPr>
          <w:rFonts w:cs="仿宋" w:hint="eastAsia"/>
          <w:b/>
          <w:bCs/>
        </w:rPr>
        <w:t>5.</w:t>
      </w:r>
      <w:r>
        <w:rPr>
          <w:rFonts w:cs="仿宋" w:hint="eastAsia"/>
          <w:b/>
          <w:bCs/>
        </w:rPr>
        <w:t>优化评估评审事项办理质效。</w:t>
      </w:r>
      <w:r>
        <w:rPr>
          <w:rFonts w:cs="仿宋" w:hint="eastAsia"/>
        </w:rPr>
        <w:t>优化文物保护评估，对面积超过</w:t>
      </w:r>
      <w:r>
        <w:rPr>
          <w:rFonts w:cs="仿宋" w:hint="eastAsia"/>
        </w:rPr>
        <w:t>1</w:t>
      </w:r>
      <w:r>
        <w:rPr>
          <w:rFonts w:cs="仿宋" w:hint="eastAsia"/>
        </w:rPr>
        <w:t>平方公里、具备调查勘探条件的集中连片待开发区域，有序开展文物资源区域评估。优化市级权限内的文物影响评估事项办理流程，进一步压减时限，对需报上级审批的事项强化政策指导与技术支撑；加强环评与排污许可、危险废物经营许可、入河排污口设置等相关许可事项的高效衔接，辐射类</w:t>
      </w:r>
      <w:proofErr w:type="gramStart"/>
      <w:r>
        <w:rPr>
          <w:rFonts w:cs="仿宋" w:hint="eastAsia"/>
        </w:rPr>
        <w:t>项目环</w:t>
      </w:r>
      <w:proofErr w:type="gramEnd"/>
      <w:r>
        <w:rPr>
          <w:rFonts w:cs="仿宋" w:hint="eastAsia"/>
        </w:rPr>
        <w:t>评与主体</w:t>
      </w:r>
      <w:proofErr w:type="gramStart"/>
      <w:r>
        <w:rPr>
          <w:rFonts w:cs="仿宋" w:hint="eastAsia"/>
        </w:rPr>
        <w:t>项目环</w:t>
      </w:r>
      <w:proofErr w:type="gramEnd"/>
      <w:r>
        <w:rPr>
          <w:rFonts w:cs="仿宋" w:hint="eastAsia"/>
        </w:rPr>
        <w:t>评联办。对同一园区、同一时期、同一类型编制环境影响报告表的项目，探</w:t>
      </w:r>
      <w:r>
        <w:rPr>
          <w:rFonts w:cs="仿宋" w:hint="eastAsia"/>
        </w:rPr>
        <w:t>索实施统一受理、“打捆”审批；深入推进工程建设项目联合评审工作机制，拓展联合评审场景应用，推进水利部门开展水土保持方案、洪水影响评价、水资源论证“多评合一”，</w:t>
      </w:r>
      <w:proofErr w:type="gramStart"/>
      <w:r>
        <w:rPr>
          <w:rFonts w:cs="仿宋" w:hint="eastAsia"/>
        </w:rPr>
        <w:t>推进发改部门</w:t>
      </w:r>
      <w:proofErr w:type="gramEnd"/>
      <w:r>
        <w:rPr>
          <w:rFonts w:cs="仿宋" w:hint="eastAsia"/>
        </w:rPr>
        <w:t>对政</w:t>
      </w:r>
      <w:r>
        <w:rPr>
          <w:rFonts w:cs="仿宋" w:hint="eastAsia"/>
        </w:rPr>
        <w:lastRenderedPageBreak/>
        <w:t>府项目建议书、项目可行性研究报告等同一个部门审批的中介服务事项集中办理。</w:t>
      </w:r>
      <w:r>
        <w:rPr>
          <w:rFonts w:ascii="Times New Roman" w:eastAsia="方正楷体_GBK" w:hAnsi="楷体" w:hint="eastAsia"/>
          <w:color w:val="000000"/>
          <w:kern w:val="0"/>
          <w:lang w:bidi="ar"/>
        </w:rPr>
        <w:t>（责任单位：</w:t>
      </w:r>
      <w:proofErr w:type="gramStart"/>
      <w:r>
        <w:rPr>
          <w:rFonts w:ascii="Times New Roman" w:eastAsia="方正楷体_GBK" w:hAnsi="楷体" w:hint="eastAsia"/>
          <w:color w:val="000000"/>
          <w:kern w:val="0"/>
          <w:lang w:bidi="ar"/>
        </w:rPr>
        <w:t>市发改委</w:t>
      </w:r>
      <w:proofErr w:type="gramEnd"/>
      <w:r>
        <w:rPr>
          <w:rFonts w:ascii="Times New Roman" w:eastAsia="方正楷体_GBK" w:hAnsi="楷体" w:hint="eastAsia"/>
          <w:color w:val="000000"/>
          <w:kern w:val="0"/>
          <w:lang w:bidi="ar"/>
        </w:rPr>
        <w:t>、生态环境局、水利局、文广旅游局、数据局）</w:t>
      </w:r>
    </w:p>
    <w:p w:rsidR="00855893" w:rsidRDefault="00187CA4">
      <w:pPr>
        <w:adjustRightInd/>
        <w:snapToGrid/>
        <w:spacing w:line="560" w:lineRule="exact"/>
        <w:ind w:firstLine="618"/>
        <w:rPr>
          <w:rFonts w:cs="仿宋"/>
          <w:b/>
          <w:bCs/>
        </w:rPr>
      </w:pPr>
      <w:r>
        <w:rPr>
          <w:rFonts w:cs="仿宋" w:hint="eastAsia"/>
          <w:b/>
          <w:bCs/>
        </w:rPr>
        <w:t>6.</w:t>
      </w:r>
      <w:r>
        <w:rPr>
          <w:rFonts w:cs="仿宋" w:hint="eastAsia"/>
          <w:b/>
          <w:bCs/>
        </w:rPr>
        <w:t>完善联合验收工作机制。</w:t>
      </w:r>
      <w:r>
        <w:rPr>
          <w:rFonts w:cs="仿宋" w:hint="eastAsia"/>
        </w:rPr>
        <w:t>全面落实联合验收“一件事”工作要求，实现规划核实和土地核验、建设工程消防验收（消防验收备案）、建设工程档案验收、人防工程竣工验收备案、房屋建筑和市政基础设施工程竣工验收备案等政</w:t>
      </w:r>
      <w:r>
        <w:rPr>
          <w:rFonts w:cs="仿宋" w:hint="eastAsia"/>
        </w:rPr>
        <w:t>府部门验收事项一次申请、多事项联合办理。结合建设单位实际需求，进一步拓展“套餐式”联合验收，对包含多个单位工程的工程建设项目，在满足安全、质量、使用功能的前提下，开展单位工程联合验收；</w:t>
      </w:r>
      <w:r>
        <w:rPr>
          <w:rFonts w:cs="仿宋"/>
        </w:rPr>
        <w:t>对房屋建筑类项目</w:t>
      </w:r>
      <w:r>
        <w:rPr>
          <w:rFonts w:cs="仿宋" w:hint="eastAsia"/>
        </w:rPr>
        <w:t>，</w:t>
      </w:r>
      <w:r>
        <w:rPr>
          <w:rFonts w:cs="仿宋"/>
        </w:rPr>
        <w:t>将综合管线</w:t>
      </w:r>
      <w:proofErr w:type="gramStart"/>
      <w:r>
        <w:rPr>
          <w:rFonts w:cs="仿宋"/>
        </w:rPr>
        <w:t>图明确</w:t>
      </w:r>
      <w:proofErr w:type="gramEnd"/>
      <w:r>
        <w:rPr>
          <w:rFonts w:cs="仿宋"/>
        </w:rPr>
        <w:t>的供水、供电、燃气、通信、有线电视、热力、排水</w:t>
      </w:r>
      <w:r>
        <w:rPr>
          <w:rFonts w:cs="仿宋" w:hint="eastAsia"/>
        </w:rPr>
        <w:t>等</w:t>
      </w:r>
      <w:r>
        <w:rPr>
          <w:rFonts w:cs="仿宋"/>
        </w:rPr>
        <w:t>市政公用服务设施纳入验收范围，</w:t>
      </w:r>
      <w:r>
        <w:rPr>
          <w:rFonts w:cs="仿宋" w:hint="eastAsia"/>
        </w:rPr>
        <w:t>实现</w:t>
      </w:r>
      <w:r>
        <w:rPr>
          <w:rFonts w:cs="仿宋"/>
        </w:rPr>
        <w:t>竣工交付后满足使用功能</w:t>
      </w:r>
      <w:r>
        <w:rPr>
          <w:rFonts w:cs="仿宋" w:hint="eastAsia"/>
        </w:rPr>
        <w:t>；对工业厂房类项目，</w:t>
      </w:r>
      <w:r>
        <w:rPr>
          <w:rFonts w:cs="仿宋"/>
        </w:rPr>
        <w:t>结合实际对竣工环境保护验收、安全设施竣工验收、水土保持设施验收等建设单位自行组织的验收事项开展集中验收，实现竣工交付后满足生产功能。</w:t>
      </w:r>
      <w:r>
        <w:rPr>
          <w:rFonts w:ascii="楷体" w:eastAsia="楷体" w:hAnsi="楷体" w:cs="楷体" w:hint="eastAsia"/>
        </w:rPr>
        <w:t>（责任单位：市住建局、资</w:t>
      </w:r>
      <w:proofErr w:type="gramStart"/>
      <w:r>
        <w:rPr>
          <w:rFonts w:ascii="楷体" w:eastAsia="楷体" w:hAnsi="楷体" w:cs="楷体" w:hint="eastAsia"/>
        </w:rPr>
        <w:t>规</w:t>
      </w:r>
      <w:proofErr w:type="gramEnd"/>
      <w:r>
        <w:rPr>
          <w:rFonts w:ascii="楷体" w:eastAsia="楷体" w:hAnsi="楷体" w:cs="楷体" w:hint="eastAsia"/>
        </w:rPr>
        <w:t>局、生态环境</w:t>
      </w:r>
      <w:r>
        <w:rPr>
          <w:rFonts w:ascii="楷体" w:eastAsia="楷体" w:hAnsi="楷体" w:cs="楷体" w:hint="eastAsia"/>
        </w:rPr>
        <w:t>局、水利局、应急局、数据局、通管办，市政公用服务报装单位）</w:t>
      </w:r>
    </w:p>
    <w:p w:rsidR="00855893" w:rsidRDefault="00187CA4">
      <w:pPr>
        <w:adjustRightInd/>
        <w:snapToGrid/>
        <w:spacing w:line="560" w:lineRule="exact"/>
        <w:ind w:firstLine="618"/>
        <w:rPr>
          <w:rFonts w:cs="仿宋"/>
        </w:rPr>
      </w:pPr>
      <w:r>
        <w:rPr>
          <w:rFonts w:cs="仿宋" w:hint="eastAsia"/>
          <w:b/>
          <w:bCs/>
        </w:rPr>
        <w:t>7.</w:t>
      </w:r>
      <w:r>
        <w:rPr>
          <w:rFonts w:cs="仿宋" w:hint="eastAsia"/>
          <w:b/>
          <w:bCs/>
        </w:rPr>
        <w:t>梳理总结典型项目全流程审批环节。</w:t>
      </w:r>
      <w:r>
        <w:rPr>
          <w:rFonts w:cs="仿宋" w:hint="eastAsia"/>
        </w:rPr>
        <w:t>立足提前服务、尽快开工原则，进一步理清工程建设项目四阶段事项办理环节、时限、费用情况，重点选取新建、技改等典型工业制造类项目进行梳理总结。通过开展包括项目建设单位、事项办理部门、中介服务机构在内的多方调研，综合省、市相关审批系统办理数据，梳理形成具有代表性的项目全流程审批案例，为各类投资主体和项目帮代办单位提供</w:t>
      </w:r>
      <w:r>
        <w:rPr>
          <w:rFonts w:cs="仿宋" w:hint="eastAsia"/>
        </w:rPr>
        <w:lastRenderedPageBreak/>
        <w:t>清晰、直观、可参照的办事指引，帮助科学预判审批进程，合理安排项目建设时序，进一步压缩项目前期准备时间，降</w:t>
      </w:r>
      <w:r>
        <w:rPr>
          <w:rFonts w:cs="仿宋" w:hint="eastAsia"/>
        </w:rPr>
        <w:t>低制度性交易成本。审批案例梳理总结工作由市数据局组织项目审批服务质</w:t>
      </w:r>
      <w:proofErr w:type="gramStart"/>
      <w:r>
        <w:rPr>
          <w:rFonts w:cs="仿宋" w:hint="eastAsia"/>
        </w:rPr>
        <w:t>效较好</w:t>
      </w:r>
      <w:proofErr w:type="gramEnd"/>
      <w:r>
        <w:rPr>
          <w:rFonts w:cs="仿宋" w:hint="eastAsia"/>
        </w:rPr>
        <w:t>的县区（园区）试点开展，择机在全市范围推广。</w:t>
      </w:r>
      <w:r>
        <w:rPr>
          <w:rFonts w:ascii="Times New Roman" w:eastAsia="方正楷体_GBK" w:hAnsi="楷体" w:hint="eastAsia"/>
          <w:color w:val="000000"/>
          <w:kern w:val="0"/>
          <w:lang w:bidi="ar"/>
        </w:rPr>
        <w:t>（责任单位：市数据局）</w:t>
      </w:r>
    </w:p>
    <w:p w:rsidR="00855893" w:rsidRDefault="00187CA4">
      <w:pPr>
        <w:adjustRightInd/>
        <w:snapToGrid/>
        <w:spacing w:line="560" w:lineRule="exact"/>
        <w:ind w:firstLine="618"/>
        <w:rPr>
          <w:rFonts w:cs="仿宋"/>
        </w:rPr>
      </w:pPr>
      <w:r>
        <w:rPr>
          <w:rFonts w:cs="仿宋"/>
          <w:b/>
          <w:bCs/>
        </w:rPr>
        <w:t>8</w:t>
      </w:r>
      <w:r>
        <w:rPr>
          <w:rFonts w:cs="仿宋" w:hint="eastAsia"/>
          <w:b/>
          <w:bCs/>
        </w:rPr>
        <w:t>.</w:t>
      </w:r>
      <w:r>
        <w:rPr>
          <w:rFonts w:cs="仿宋" w:hint="eastAsia"/>
          <w:b/>
          <w:bCs/>
        </w:rPr>
        <w:t>规范开展项目审批服务。</w:t>
      </w:r>
      <w:r>
        <w:rPr>
          <w:rFonts w:cs="仿宋" w:hint="eastAsia"/>
        </w:rPr>
        <w:t>全面</w:t>
      </w:r>
      <w:proofErr w:type="gramStart"/>
      <w:r>
        <w:rPr>
          <w:rFonts w:cs="仿宋" w:hint="eastAsia"/>
        </w:rPr>
        <w:t>整改</w:t>
      </w:r>
      <w:r>
        <w:rPr>
          <w:rFonts w:cs="仿宋" w:hint="eastAsia"/>
        </w:rPr>
        <w:t>省</w:t>
      </w:r>
      <w:proofErr w:type="gramEnd"/>
      <w:r>
        <w:rPr>
          <w:rFonts w:cs="仿宋" w:hint="eastAsia"/>
        </w:rPr>
        <w:t>工程建设领域规范管理和风险防控专项审计中查出的项目审批领域问题短板</w:t>
      </w:r>
      <w:r>
        <w:rPr>
          <w:rFonts w:cs="仿宋" w:hint="eastAsia"/>
        </w:rPr>
        <w:t>，</w:t>
      </w:r>
      <w:r>
        <w:rPr>
          <w:rFonts w:cs="仿宋" w:hint="eastAsia"/>
        </w:rPr>
        <w:t>针对政府投资项目立项阶段</w:t>
      </w:r>
      <w:r>
        <w:rPr>
          <w:rFonts w:cs="仿宋" w:hint="eastAsia"/>
        </w:rPr>
        <w:t>“体外循环”</w:t>
      </w:r>
      <w:r>
        <w:rPr>
          <w:rFonts w:cs="仿宋" w:hint="eastAsia"/>
        </w:rPr>
        <w:t>“</w:t>
      </w:r>
      <w:r>
        <w:rPr>
          <w:rFonts w:cs="仿宋" w:hint="eastAsia"/>
        </w:rPr>
        <w:t>线下审批</w:t>
      </w:r>
      <w:r>
        <w:rPr>
          <w:rFonts w:cs="仿宋" w:hint="eastAsia"/>
        </w:rPr>
        <w:t>”</w:t>
      </w:r>
      <w:r>
        <w:rPr>
          <w:rFonts w:cs="仿宋" w:hint="eastAsia"/>
        </w:rPr>
        <w:t>问题，</w:t>
      </w:r>
      <w:r>
        <w:rPr>
          <w:rFonts w:cs="仿宋" w:hint="eastAsia"/>
        </w:rPr>
        <w:t>督促指导相关事项办理部门严格按照省、市“一网通办”要求，依托市工程建设项目审批管理系统规范办理政府投资项目建议书、可行性研究报告等审批事项</w:t>
      </w:r>
      <w:r>
        <w:rPr>
          <w:rFonts w:cs="仿宋" w:hint="eastAsia"/>
        </w:rPr>
        <w:t>；</w:t>
      </w:r>
      <w:r>
        <w:rPr>
          <w:rFonts w:cs="仿宋" w:hint="eastAsia"/>
        </w:rPr>
        <w:t>针对工程建设项目“先建后批”“先建后审”“边批边建”等问题，严格用地规划许可、工程规划许可、施工图审查、施工许可等</w:t>
      </w:r>
      <w:r>
        <w:rPr>
          <w:rFonts w:cs="仿宋" w:hint="eastAsia"/>
        </w:rPr>
        <w:t>重点事项</w:t>
      </w:r>
      <w:r>
        <w:rPr>
          <w:rFonts w:cs="仿宋" w:hint="eastAsia"/>
        </w:rPr>
        <w:t>办理程序，</w:t>
      </w:r>
      <w:r>
        <w:rPr>
          <w:rFonts w:cs="仿宋" w:hint="eastAsia"/>
        </w:rPr>
        <w:t>不得在前置条件不具备</w:t>
      </w:r>
      <w:r>
        <w:rPr>
          <w:rFonts w:cs="仿宋" w:hint="eastAsia"/>
        </w:rPr>
        <w:t>、</w:t>
      </w:r>
      <w:r>
        <w:rPr>
          <w:rFonts w:cs="仿宋" w:hint="eastAsia"/>
        </w:rPr>
        <w:t>主要申请材料不齐全</w:t>
      </w:r>
      <w:r>
        <w:rPr>
          <w:rFonts w:cs="仿宋" w:hint="eastAsia"/>
        </w:rPr>
        <w:t>的情况下核发证照、批文</w:t>
      </w:r>
      <w:r>
        <w:rPr>
          <w:rFonts w:cs="仿宋" w:hint="eastAsia"/>
        </w:rPr>
        <w:t>，</w:t>
      </w:r>
      <w:r>
        <w:rPr>
          <w:rFonts w:cs="仿宋" w:hint="eastAsia"/>
        </w:rPr>
        <w:t>严禁</w:t>
      </w:r>
      <w:r>
        <w:rPr>
          <w:rFonts w:cs="仿宋" w:hint="eastAsia"/>
        </w:rPr>
        <w:t>突破基本建设程序</w:t>
      </w:r>
      <w:r>
        <w:rPr>
          <w:rFonts w:cs="仿宋" w:hint="eastAsia"/>
        </w:rPr>
        <w:t>。各事项办理部门开展项目审批服务过程中，须全面落实工程建设项目审批制度改革工作要求，加强审批监管，杜绝</w:t>
      </w:r>
      <w:r>
        <w:rPr>
          <w:rFonts w:cs="仿宋" w:hint="eastAsia"/>
        </w:rPr>
        <w:t>“边改边犯”。</w:t>
      </w:r>
      <w:r>
        <w:rPr>
          <w:rFonts w:ascii="Times New Roman" w:eastAsia="方正楷体_GBK" w:hAnsi="楷体" w:hint="eastAsia"/>
          <w:color w:val="000000"/>
          <w:kern w:val="0"/>
          <w:lang w:bidi="ar"/>
        </w:rPr>
        <w:t>（责任单位：</w:t>
      </w:r>
      <w:proofErr w:type="gramStart"/>
      <w:r>
        <w:rPr>
          <w:rFonts w:ascii="Times New Roman" w:eastAsia="方正楷体_GBK" w:hAnsi="楷体" w:hint="eastAsia"/>
          <w:color w:val="000000"/>
          <w:kern w:val="0"/>
          <w:lang w:bidi="ar"/>
        </w:rPr>
        <w:t>市发改委</w:t>
      </w:r>
      <w:proofErr w:type="gramEnd"/>
      <w:r>
        <w:rPr>
          <w:rFonts w:ascii="Times New Roman" w:eastAsia="方正楷体_GBK" w:hAnsi="楷体" w:hint="eastAsia"/>
          <w:color w:val="000000"/>
          <w:kern w:val="0"/>
          <w:lang w:bidi="ar"/>
        </w:rPr>
        <w:t>、资</w:t>
      </w:r>
      <w:proofErr w:type="gramStart"/>
      <w:r>
        <w:rPr>
          <w:rFonts w:ascii="Times New Roman" w:eastAsia="方正楷体_GBK" w:hAnsi="楷体" w:hint="eastAsia"/>
          <w:color w:val="000000"/>
          <w:kern w:val="0"/>
          <w:lang w:bidi="ar"/>
        </w:rPr>
        <w:t>规</w:t>
      </w:r>
      <w:proofErr w:type="gramEnd"/>
      <w:r>
        <w:rPr>
          <w:rFonts w:ascii="Times New Roman" w:eastAsia="方正楷体_GBK" w:hAnsi="楷体" w:hint="eastAsia"/>
          <w:color w:val="000000"/>
          <w:kern w:val="0"/>
          <w:lang w:bidi="ar"/>
        </w:rPr>
        <w:t>局、住建局、生态环境局、城管局、交通局、水利局、应急局、数据局）</w:t>
      </w:r>
      <w:r>
        <w:rPr>
          <w:rFonts w:ascii="Times New Roman" w:eastAsia="方正楷体_GBK" w:hint="eastAsia"/>
          <w:color w:val="000000"/>
          <w:kern w:val="0"/>
          <w:lang w:bidi="ar"/>
        </w:rPr>
        <w:t xml:space="preserve"> </w:t>
      </w:r>
    </w:p>
    <w:p w:rsidR="00855893" w:rsidRDefault="00187CA4">
      <w:pPr>
        <w:adjustRightInd/>
        <w:snapToGrid/>
        <w:spacing w:line="560" w:lineRule="exact"/>
        <w:ind w:firstLine="618"/>
        <w:rPr>
          <w:rFonts w:cs="仿宋"/>
        </w:rPr>
      </w:pPr>
      <w:r>
        <w:rPr>
          <w:rFonts w:cs="仿宋"/>
          <w:b/>
          <w:bCs/>
        </w:rPr>
        <w:t>9</w:t>
      </w:r>
      <w:r>
        <w:rPr>
          <w:rFonts w:cs="仿宋" w:hint="eastAsia"/>
          <w:b/>
          <w:bCs/>
        </w:rPr>
        <w:t>.</w:t>
      </w:r>
      <w:proofErr w:type="gramStart"/>
      <w:r>
        <w:rPr>
          <w:rFonts w:cs="仿宋" w:hint="eastAsia"/>
          <w:b/>
          <w:bCs/>
        </w:rPr>
        <w:t>完善全</w:t>
      </w:r>
      <w:proofErr w:type="gramEnd"/>
      <w:r>
        <w:rPr>
          <w:rFonts w:cs="仿宋" w:hint="eastAsia"/>
          <w:b/>
          <w:bCs/>
        </w:rPr>
        <w:t>流程管理机制。</w:t>
      </w:r>
      <w:r>
        <w:rPr>
          <w:rFonts w:cs="仿宋" w:hint="eastAsia"/>
        </w:rPr>
        <w:t>以省、市工改系统为依托，常态化监测审批数据质量，重点核查施工许</w:t>
      </w:r>
      <w:r>
        <w:rPr>
          <w:rFonts w:cs="仿宋" w:hint="eastAsia"/>
        </w:rPr>
        <w:t>可结构化数据共享率、主要指标准确率、证照文件准确率、阶段并联审批率及关键办件关联匹配情况。密切跟踪</w:t>
      </w:r>
      <w:proofErr w:type="gramStart"/>
      <w:r>
        <w:rPr>
          <w:rFonts w:cs="仿宋" w:hint="eastAsia"/>
        </w:rPr>
        <w:t>国家住</w:t>
      </w:r>
      <w:proofErr w:type="gramEnd"/>
      <w:r>
        <w:rPr>
          <w:rFonts w:cs="仿宋" w:hint="eastAsia"/>
        </w:rPr>
        <w:t>建部、</w:t>
      </w:r>
      <w:proofErr w:type="gramStart"/>
      <w:r>
        <w:rPr>
          <w:rFonts w:cs="仿宋" w:hint="eastAsia"/>
        </w:rPr>
        <w:t>省住建</w:t>
      </w:r>
      <w:proofErr w:type="gramEnd"/>
      <w:r>
        <w:rPr>
          <w:rFonts w:cs="仿宋" w:hint="eastAsia"/>
        </w:rPr>
        <w:t>厅简报，对发现的数据字段缺失、逻辑错误、回流不及时等问题，按照“问题清单、定向反馈、限期</w:t>
      </w:r>
      <w:r>
        <w:rPr>
          <w:rFonts w:cs="仿宋" w:hint="eastAsia"/>
        </w:rPr>
        <w:lastRenderedPageBreak/>
        <w:t>整改、复核销号”模式闭环处理，确保我市在国家和省重点考核指标中保持高位运行。及时协调解决改革推进中的堵点、难点问题，深度</w:t>
      </w:r>
      <w:proofErr w:type="gramStart"/>
      <w:r>
        <w:rPr>
          <w:rFonts w:cs="仿宋" w:hint="eastAsia"/>
        </w:rPr>
        <w:t>挖掘市</w:t>
      </w:r>
      <w:proofErr w:type="gramEnd"/>
      <w:r>
        <w:rPr>
          <w:rFonts w:cs="仿宋" w:hint="eastAsia"/>
        </w:rPr>
        <w:t>各相关部门、各县区（园区）在“高效办成一件事”、评估评审、联合验收等领域的创新做法，对具有代表性、创新性、实效性的典型案例予以转发推广，择优</w:t>
      </w:r>
      <w:proofErr w:type="gramStart"/>
      <w:r>
        <w:rPr>
          <w:rFonts w:cs="仿宋" w:hint="eastAsia"/>
        </w:rPr>
        <w:t>向省住建</w:t>
      </w:r>
      <w:proofErr w:type="gramEnd"/>
      <w:r>
        <w:rPr>
          <w:rFonts w:cs="仿宋" w:hint="eastAsia"/>
        </w:rPr>
        <w:t>厅推荐。</w:t>
      </w:r>
      <w:r>
        <w:rPr>
          <w:rFonts w:ascii="Times New Roman" w:eastAsia="方正楷体_GBK" w:hAnsi="楷体" w:hint="eastAsia"/>
          <w:color w:val="000000"/>
          <w:kern w:val="0"/>
          <w:lang w:bidi="ar"/>
        </w:rPr>
        <w:t>（责任单位：市住建局、数据</w:t>
      </w:r>
      <w:r>
        <w:rPr>
          <w:rFonts w:ascii="Times New Roman" w:eastAsia="方正楷体_GBK" w:hAnsi="楷体" w:hint="eastAsia"/>
          <w:color w:val="000000"/>
          <w:kern w:val="0"/>
          <w:lang w:bidi="ar"/>
        </w:rPr>
        <w:t>局）</w:t>
      </w:r>
      <w:r>
        <w:rPr>
          <w:rFonts w:ascii="Times New Roman" w:eastAsia="方正楷体_GBK" w:hint="eastAsia"/>
          <w:color w:val="000000"/>
          <w:kern w:val="0"/>
          <w:lang w:bidi="ar"/>
        </w:rPr>
        <w:t xml:space="preserve"> </w:t>
      </w:r>
    </w:p>
    <w:p w:rsidR="00855893" w:rsidRDefault="00187CA4">
      <w:pPr>
        <w:adjustRightInd/>
        <w:snapToGrid/>
        <w:spacing w:line="560" w:lineRule="exact"/>
        <w:ind w:firstLine="618"/>
        <w:rPr>
          <w:rFonts w:cs="仿宋"/>
        </w:rPr>
      </w:pPr>
      <w:r>
        <w:rPr>
          <w:rFonts w:cs="仿宋"/>
          <w:b/>
          <w:bCs/>
        </w:rPr>
        <w:t>10</w:t>
      </w:r>
      <w:r>
        <w:rPr>
          <w:rFonts w:cs="仿宋" w:hint="eastAsia"/>
          <w:b/>
          <w:bCs/>
        </w:rPr>
        <w:t>.</w:t>
      </w:r>
      <w:proofErr w:type="gramStart"/>
      <w:r>
        <w:rPr>
          <w:rFonts w:cs="仿宋" w:hint="eastAsia"/>
          <w:b/>
          <w:bCs/>
        </w:rPr>
        <w:t>夯实市</w:t>
      </w:r>
      <w:proofErr w:type="gramEnd"/>
      <w:r>
        <w:rPr>
          <w:rFonts w:cs="仿宋" w:hint="eastAsia"/>
          <w:b/>
          <w:bCs/>
        </w:rPr>
        <w:t>工改系统支撑保障能力。</w:t>
      </w:r>
      <w:r>
        <w:rPr>
          <w:rFonts w:cs="仿宋" w:hint="eastAsia"/>
        </w:rPr>
        <w:t>进一步优化</w:t>
      </w:r>
      <w:proofErr w:type="gramStart"/>
      <w:r>
        <w:rPr>
          <w:rFonts w:cs="仿宋" w:hint="eastAsia"/>
        </w:rPr>
        <w:t>升级市</w:t>
      </w:r>
      <w:proofErr w:type="gramEnd"/>
      <w:r>
        <w:rPr>
          <w:rFonts w:cs="仿宋" w:hint="eastAsia"/>
        </w:rPr>
        <w:t>工程建设项目审批管理系统，对</w:t>
      </w:r>
      <w:proofErr w:type="gramStart"/>
      <w:r>
        <w:rPr>
          <w:rFonts w:cs="仿宋" w:hint="eastAsia"/>
        </w:rPr>
        <w:t>标国家</w:t>
      </w:r>
      <w:proofErr w:type="gramEnd"/>
      <w:r>
        <w:rPr>
          <w:rFonts w:cs="仿宋" w:hint="eastAsia"/>
        </w:rPr>
        <w:t>工程建设项目审批管理系统数据共享交换</w:t>
      </w:r>
      <w:r>
        <w:rPr>
          <w:rFonts w:cs="仿宋" w:hint="eastAsia"/>
        </w:rPr>
        <w:t>V3.0</w:t>
      </w:r>
      <w:r>
        <w:rPr>
          <w:rFonts w:cs="仿宋" w:hint="eastAsia"/>
        </w:rPr>
        <w:t>标准，深化房屋建筑编码应用，自动归集共享单体工程信息和电子文件、证照。运用大数据、人工智能等先进技术持续优化审批流程，在市工改系统中探索集成</w:t>
      </w:r>
      <w:r>
        <w:rPr>
          <w:rFonts w:cs="仿宋" w:hint="eastAsia"/>
        </w:rPr>
        <w:t>OCR</w:t>
      </w:r>
      <w:r>
        <w:rPr>
          <w:rFonts w:cs="仿宋" w:hint="eastAsia"/>
        </w:rPr>
        <w:t>智能识别技术，通过对审批事项的审查要点与要素进行规则配置，实现材料审查要点自动化分析扫描，与实际表单中的信息进行匹配对比，并生成预检信息，为审批人员提供辅助审查和合</w:t>
      </w:r>
      <w:proofErr w:type="gramStart"/>
      <w:r>
        <w:rPr>
          <w:rFonts w:cs="仿宋" w:hint="eastAsia"/>
        </w:rPr>
        <w:t>规</w:t>
      </w:r>
      <w:proofErr w:type="gramEnd"/>
      <w:r>
        <w:rPr>
          <w:rFonts w:cs="仿宋" w:hint="eastAsia"/>
        </w:rPr>
        <w:t>性自动校验功能。</w:t>
      </w:r>
      <w:r>
        <w:rPr>
          <w:rFonts w:ascii="Times New Roman" w:eastAsia="方正楷体_GBK" w:hAnsi="楷体" w:hint="eastAsia"/>
          <w:color w:val="000000"/>
          <w:kern w:val="0"/>
          <w:lang w:bidi="ar"/>
        </w:rPr>
        <w:t>（责任单位：市住建局、数据局）</w:t>
      </w:r>
      <w:r>
        <w:rPr>
          <w:rFonts w:ascii="Times New Roman" w:eastAsia="方正楷体_GBK" w:hint="eastAsia"/>
          <w:color w:val="000000"/>
          <w:kern w:val="0"/>
          <w:lang w:bidi="ar"/>
        </w:rPr>
        <w:t xml:space="preserve"> </w:t>
      </w:r>
    </w:p>
    <w:sectPr w:rsidR="00855893">
      <w:headerReference w:type="even" r:id="rId9"/>
      <w:headerReference w:type="default" r:id="rId10"/>
      <w:footerReference w:type="even" r:id="rId11"/>
      <w:footerReference w:type="default" r:id="rId12"/>
      <w:headerReference w:type="first" r:id="rId13"/>
      <w:footerReference w:type="first" r:id="rId14"/>
      <w:pgSz w:w="11906" w:h="16838"/>
      <w:pgMar w:top="1814" w:right="1531" w:bottom="1984" w:left="1531" w:header="851" w:footer="113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CA4" w:rsidRDefault="00187CA4" w:rsidP="00312767">
      <w:pPr>
        <w:spacing w:line="240" w:lineRule="auto"/>
        <w:ind w:firstLine="640"/>
      </w:pPr>
      <w:r>
        <w:separator/>
      </w:r>
    </w:p>
  </w:endnote>
  <w:endnote w:type="continuationSeparator" w:id="0">
    <w:p w:rsidR="00187CA4" w:rsidRDefault="00187CA4" w:rsidP="00312767">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B7474683-575C-4D9C-A16F-8241307A9B55}"/>
  </w:font>
  <w:font w:name="楷体">
    <w:panose1 w:val="02010609060101010101"/>
    <w:charset w:val="86"/>
    <w:family w:val="modern"/>
    <w:pitch w:val="fixed"/>
    <w:sig w:usb0="800002BF" w:usb1="38CF7CFA" w:usb2="00000016" w:usb3="00000000" w:csb0="00040001" w:csb1="00000000"/>
    <w:embedRegular r:id="rId2" w:subsetted="1" w:fontKey="{DAF2645C-5CD9-4AF8-A60E-BD01BADB8EBD}"/>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embedRegular r:id="rId3" w:subsetted="1" w:fontKey="{2D5725A3-D4C9-4F0A-BEED-1FAF3E865C25}"/>
    <w:embedBold r:id="rId4" w:subsetted="1" w:fontKey="{584077C2-30DD-41D5-9BFB-57BAF2597696}"/>
  </w:font>
  <w:font w:name="Courier New">
    <w:panose1 w:val="02070309020205020404"/>
    <w:charset w:val="00"/>
    <w:family w:val="modern"/>
    <w:pitch w:val="fixed"/>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embedRegular r:id="rId5" w:subsetted="1" w:fontKey="{4145E4A9-9C21-48F3-9C22-F4064A850E13}"/>
  </w:font>
  <w:font w:name="方正楷体_GBK">
    <w:panose1 w:val="03000509000000000000"/>
    <w:charset w:val="86"/>
    <w:family w:val="script"/>
    <w:pitch w:val="fixed"/>
    <w:sig w:usb0="00000001" w:usb1="080E0000" w:usb2="00000010" w:usb3="00000000" w:csb0="00040000" w:csb1="00000000"/>
    <w:embedRegular r:id="rId6" w:subsetted="1" w:fontKey="{1535C5E4-A5F8-4F5D-B3B1-2D8E378419E2}"/>
  </w:font>
  <w:font w:name="方正仿宋_GBK">
    <w:panose1 w:val="03000509000000000000"/>
    <w:charset w:val="86"/>
    <w:family w:val="script"/>
    <w:pitch w:val="fixed"/>
    <w:sig w:usb0="00000001" w:usb1="080E0000" w:usb2="00000010" w:usb3="00000000" w:csb0="00040000" w:csb1="00000000"/>
    <w:embedRegular r:id="rId7" w:subsetted="1" w:fontKey="{CC35CF23-7976-4924-B310-35E3A695476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767" w:rsidRDefault="0031276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893" w:rsidRDefault="00187CA4">
    <w:pPr>
      <w:pStyle w:val="ab"/>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855893" w:rsidRDefault="00187CA4">
                          <w:pPr>
                            <w:pStyle w:val="ab"/>
                            <w:rPr>
                              <w:rFonts w:ascii="宋体" w:eastAsia="宋体" w:hAnsi="宋体" w:cs="宋体"/>
                              <w:sz w:val="28"/>
                              <w:szCs w:val="28"/>
                            </w:rPr>
                          </w:pPr>
                          <w:r>
                            <w:rPr>
                              <w:rFonts w:ascii="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12767">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hAnsi="宋体" w:cs="宋体" w:hint="eastAsia"/>
                              <w:sz w:val="28"/>
                              <w:szCs w:val="28"/>
                            </w:rPr>
                            <w:t xml:space="preserve"> -</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" filled="f" stroked="f">
              <v:textbox style="mso-fit-shape-to-text:t" inset="0,0,0,0">
                <w:txbxContent>
                  <w:p w:rsidR="00855893" w:rsidRDefault="00187CA4">
                    <w:pPr>
                      <w:pStyle w:val="ab"/>
                      <w:rPr>
                        <w:rFonts w:ascii="宋体" w:eastAsia="宋体" w:hAnsi="宋体" w:cs="宋体"/>
                        <w:sz w:val="28"/>
                        <w:szCs w:val="28"/>
                      </w:rPr>
                    </w:pPr>
                    <w:r>
                      <w:rPr>
                        <w:rFonts w:ascii="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12767">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767" w:rsidRDefault="0031276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CA4" w:rsidRDefault="00187CA4" w:rsidP="00312767">
      <w:pPr>
        <w:spacing w:line="240" w:lineRule="auto"/>
        <w:ind w:firstLine="640"/>
      </w:pPr>
      <w:r>
        <w:separator/>
      </w:r>
    </w:p>
  </w:footnote>
  <w:footnote w:type="continuationSeparator" w:id="0">
    <w:p w:rsidR="00187CA4" w:rsidRDefault="00187CA4" w:rsidP="00312767">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767" w:rsidRDefault="00312767">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767" w:rsidRDefault="00312767">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767" w:rsidRDefault="0031276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FD899A"/>
    <w:multiLevelType w:val="multilevel"/>
    <w:tmpl w:val="54FD899A"/>
    <w:lvl w:ilvl="0">
      <w:start w:val="1"/>
      <w:numFmt w:val="chineseCounting"/>
      <w:pStyle w:val="1"/>
      <w:suff w:val="nothing"/>
      <w:lvlText w:val="%1、"/>
      <w:lvlJc w:val="left"/>
      <w:pPr>
        <w:tabs>
          <w:tab w:val="left" w:pos="0"/>
        </w:tabs>
        <w:ind w:left="0" w:firstLine="0"/>
      </w:pPr>
      <w:rPr>
        <w:rFonts w:eastAsia="黑体" w:hint="eastAsia"/>
        <w:sz w:val="32"/>
        <w:szCs w:val="32"/>
      </w:rPr>
    </w:lvl>
    <w:lvl w:ilvl="1">
      <w:start w:val="1"/>
      <w:numFmt w:val="chineseCounting"/>
      <w:pStyle w:val="2"/>
      <w:suff w:val="nothing"/>
      <w:lvlText w:val="（%2）"/>
      <w:lvlJc w:val="left"/>
      <w:pPr>
        <w:tabs>
          <w:tab w:val="left" w:pos="0"/>
        </w:tabs>
        <w:ind w:left="0" w:firstLine="0"/>
      </w:pPr>
      <w:rPr>
        <w:rFonts w:eastAsia="楷体" w:hint="eastAsia"/>
        <w:sz w:val="32"/>
        <w:szCs w:val="32"/>
      </w:rPr>
    </w:lvl>
    <w:lvl w:ilvl="2">
      <w:start w:val="1"/>
      <w:numFmt w:val="decimal"/>
      <w:pStyle w:val="3"/>
      <w:suff w:val="nothing"/>
      <w:lvlText w:val="%3．"/>
      <w:lvlJc w:val="left"/>
      <w:pPr>
        <w:tabs>
          <w:tab w:val="left" w:pos="0"/>
        </w:tabs>
        <w:ind w:left="0" w:firstLine="400"/>
      </w:pPr>
      <w:rPr>
        <w:rFonts w:hint="eastAsia"/>
        <w:sz w:val="32"/>
        <w:szCs w:val="32"/>
      </w:rPr>
    </w:lvl>
    <w:lvl w:ilvl="3">
      <w:start w:val="1"/>
      <w:numFmt w:val="decimal"/>
      <w:pStyle w:val="4"/>
      <w:suff w:val="nothing"/>
      <w:lvlText w:val="（%4）"/>
      <w:lvlJc w:val="left"/>
      <w:pPr>
        <w:ind w:left="0" w:firstLine="402"/>
      </w:pPr>
      <w:rPr>
        <w:rFonts w:hint="eastAsia"/>
      </w:rPr>
    </w:lvl>
    <w:lvl w:ilvl="4">
      <w:start w:val="1"/>
      <w:numFmt w:val="decimalEnclosedCircleChinese"/>
      <w:pStyle w:val="5"/>
      <w:suff w:val="nothing"/>
      <w:lvlText w:val="%5 "/>
      <w:lvlJc w:val="left"/>
      <w:pPr>
        <w:tabs>
          <w:tab w:val="left" w:pos="0"/>
        </w:tabs>
        <w:ind w:left="0" w:firstLine="402"/>
      </w:pPr>
      <w:rPr>
        <w:rFonts w:hint="eastAsia"/>
      </w:rPr>
    </w:lvl>
    <w:lvl w:ilvl="5">
      <w:start w:val="1"/>
      <w:numFmt w:val="decimal"/>
      <w:pStyle w:val="6"/>
      <w:suff w:val="nothing"/>
      <w:lvlText w:val="%6）"/>
      <w:lvlJc w:val="left"/>
      <w:pPr>
        <w:ind w:left="0" w:firstLine="402"/>
      </w:pPr>
      <w:rPr>
        <w:rFonts w:hint="eastAsia"/>
      </w:rPr>
    </w:lvl>
    <w:lvl w:ilvl="6">
      <w:start w:val="1"/>
      <w:numFmt w:val="lowerLetter"/>
      <w:pStyle w:val="7"/>
      <w:suff w:val="nothing"/>
      <w:lvlText w:val="%7．"/>
      <w:lvlJc w:val="left"/>
      <w:pPr>
        <w:ind w:left="0" w:firstLine="402"/>
      </w:pPr>
      <w:rPr>
        <w:rFonts w:hint="eastAsia"/>
      </w:rPr>
    </w:lvl>
    <w:lvl w:ilvl="7">
      <w:start w:val="1"/>
      <w:numFmt w:val="lowerLetter"/>
      <w:pStyle w:val="8"/>
      <w:suff w:val="nothing"/>
      <w:lvlText w:val="%8）"/>
      <w:lvlJc w:val="left"/>
      <w:pPr>
        <w:ind w:left="0" w:firstLine="402"/>
      </w:pPr>
      <w:rPr>
        <w:rFonts w:hint="eastAsia"/>
      </w:rPr>
    </w:lvl>
    <w:lvl w:ilvl="8">
      <w:start w:val="1"/>
      <w:numFmt w:val="lowerRoman"/>
      <w:pStyle w:val="9"/>
      <w:suff w:val="nothing"/>
      <w:lvlText w:val="%9 "/>
      <w:lvlJc w:val="left"/>
      <w:pPr>
        <w:ind w:left="0" w:firstLine="402"/>
      </w:pPr>
      <w:rPr>
        <w:rFonts w:hint="eastAsia"/>
      </w:rPr>
    </w:lvl>
  </w:abstractNum>
  <w:abstractNum w:abstractNumId="1">
    <w:nsid w:val="5B01D43E"/>
    <w:multiLevelType w:val="singleLevel"/>
    <w:tmpl w:val="5B01D43E"/>
    <w:lvl w:ilvl="0">
      <w:start w:val="1"/>
      <w:numFmt w:val="bullet"/>
      <w:pStyle w:val="30"/>
      <w:lvlText w:val=""/>
      <w:lvlJc w:val="left"/>
      <w:pPr>
        <w:tabs>
          <w:tab w:val="left" w:pos="1200"/>
        </w:tabs>
        <w:ind w:left="1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83"/>
    <w:rsid w:val="00187CA4"/>
    <w:rsid w:val="00272D7B"/>
    <w:rsid w:val="00312767"/>
    <w:rsid w:val="00426F83"/>
    <w:rsid w:val="007271F9"/>
    <w:rsid w:val="00855893"/>
    <w:rsid w:val="010A3385"/>
    <w:rsid w:val="02626F54"/>
    <w:rsid w:val="02650658"/>
    <w:rsid w:val="0284056C"/>
    <w:rsid w:val="02DA4630"/>
    <w:rsid w:val="04B746A4"/>
    <w:rsid w:val="06B47939"/>
    <w:rsid w:val="06CD10FE"/>
    <w:rsid w:val="0A5E3298"/>
    <w:rsid w:val="0D1A4DCB"/>
    <w:rsid w:val="0F1B7FD0"/>
    <w:rsid w:val="0F3C3C31"/>
    <w:rsid w:val="11036B00"/>
    <w:rsid w:val="119726BB"/>
    <w:rsid w:val="13712447"/>
    <w:rsid w:val="14D818E7"/>
    <w:rsid w:val="15BD40D0"/>
    <w:rsid w:val="16A869F8"/>
    <w:rsid w:val="1A3F6DFB"/>
    <w:rsid w:val="1AD928F8"/>
    <w:rsid w:val="1C0E7329"/>
    <w:rsid w:val="1D1B6922"/>
    <w:rsid w:val="1FDD1A5A"/>
    <w:rsid w:val="20705BE2"/>
    <w:rsid w:val="23337719"/>
    <w:rsid w:val="23FB346C"/>
    <w:rsid w:val="243947CE"/>
    <w:rsid w:val="25115838"/>
    <w:rsid w:val="25FB1BD2"/>
    <w:rsid w:val="26D1765B"/>
    <w:rsid w:val="2762237B"/>
    <w:rsid w:val="28355CE1"/>
    <w:rsid w:val="28D472A8"/>
    <w:rsid w:val="28D728F5"/>
    <w:rsid w:val="2B514BE0"/>
    <w:rsid w:val="2DD31305"/>
    <w:rsid w:val="2DEE6ECC"/>
    <w:rsid w:val="2FFC0D05"/>
    <w:rsid w:val="30943214"/>
    <w:rsid w:val="30C218DE"/>
    <w:rsid w:val="31797442"/>
    <w:rsid w:val="320607AE"/>
    <w:rsid w:val="32A6623F"/>
    <w:rsid w:val="334212B2"/>
    <w:rsid w:val="33C5616B"/>
    <w:rsid w:val="3424709C"/>
    <w:rsid w:val="34582BEF"/>
    <w:rsid w:val="34CC1245"/>
    <w:rsid w:val="34E121A7"/>
    <w:rsid w:val="380E4447"/>
    <w:rsid w:val="3B1A3241"/>
    <w:rsid w:val="3B246AB6"/>
    <w:rsid w:val="3B6076B2"/>
    <w:rsid w:val="3CE11B3B"/>
    <w:rsid w:val="3D1C3BE5"/>
    <w:rsid w:val="3D2F4655"/>
    <w:rsid w:val="3ED90D1D"/>
    <w:rsid w:val="42810F6C"/>
    <w:rsid w:val="445B0426"/>
    <w:rsid w:val="46D701E1"/>
    <w:rsid w:val="47C35898"/>
    <w:rsid w:val="4BCB5E91"/>
    <w:rsid w:val="4C5E1B4D"/>
    <w:rsid w:val="4CF91432"/>
    <w:rsid w:val="50DA483A"/>
    <w:rsid w:val="52266E3D"/>
    <w:rsid w:val="52B117F4"/>
    <w:rsid w:val="54EC6FC8"/>
    <w:rsid w:val="5553299F"/>
    <w:rsid w:val="55C51BA3"/>
    <w:rsid w:val="56C105BC"/>
    <w:rsid w:val="57566F57"/>
    <w:rsid w:val="580C5867"/>
    <w:rsid w:val="5A2447F3"/>
    <w:rsid w:val="5BC92DFA"/>
    <w:rsid w:val="5C8F0D4E"/>
    <w:rsid w:val="5CFA0384"/>
    <w:rsid w:val="5F15222D"/>
    <w:rsid w:val="5FBF4EBF"/>
    <w:rsid w:val="5FDE62FC"/>
    <w:rsid w:val="624D4635"/>
    <w:rsid w:val="63B3128D"/>
    <w:rsid w:val="650A63BE"/>
    <w:rsid w:val="66927307"/>
    <w:rsid w:val="66BC3A20"/>
    <w:rsid w:val="69DA3ABA"/>
    <w:rsid w:val="6A9B2EA3"/>
    <w:rsid w:val="6B8306A8"/>
    <w:rsid w:val="6D8329D5"/>
    <w:rsid w:val="70310247"/>
    <w:rsid w:val="70F04850"/>
    <w:rsid w:val="72466192"/>
    <w:rsid w:val="7331666E"/>
    <w:rsid w:val="73A34A75"/>
    <w:rsid w:val="74B135C7"/>
    <w:rsid w:val="7541527B"/>
    <w:rsid w:val="762304F4"/>
    <w:rsid w:val="763431FA"/>
    <w:rsid w:val="7E462FD2"/>
    <w:rsid w:val="7F070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toc 1" w:qFormat="1"/>
    <w:lsdException w:name="toc 2" w:qFormat="1"/>
    <w:lsdException w:name="toc 3" w:qFormat="1"/>
    <w:lsdException w:name="toc 4" w:qFormat="1"/>
    <w:lsdException w:name="toc 5" w:qFormat="1"/>
    <w:lsdException w:name="footnote text" w:qFormat="1"/>
    <w:lsdException w:name="annotation text" w:qFormat="1"/>
    <w:lsdException w:name="header" w:qFormat="1"/>
    <w:lsdException w:name="footer" w:qFormat="1"/>
    <w:lsdException w:name="caption" w:unhideWhenUsed="1" w:qFormat="1"/>
    <w:lsdException w:name="footnote reference" w:qFormat="1"/>
    <w:lsdException w:name="annotation reference" w:qFormat="1"/>
    <w:lsdException w:name="page number" w:qFormat="1"/>
    <w:lsdException w:name="endnote reference" w:qFormat="1"/>
    <w:lsdException w:name="endnote text" w:qFormat="1"/>
    <w:lsdException w:name="List Bullet 3" w:qFormat="1"/>
    <w:lsdException w:name="Title" w:qFormat="1"/>
    <w:lsdException w:name="Signature" w:qFormat="1"/>
    <w:lsdException w:name="Default Paragraph Font" w:semiHidden="1" w:uiPriority="1" w:unhideWhenUsed="1" w:qFormat="1"/>
    <w:lsdException w:name="Body Text" w:qFormat="1"/>
    <w:lsdException w:name="Subtitle" w:qFormat="1"/>
    <w:lsdException w:name="Salutation" w:qFormat="1"/>
    <w:lsdException w:name="Dat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napToGrid w:val="0"/>
      <w:spacing w:line="576" w:lineRule="exact"/>
      <w:ind w:firstLineChars="200" w:firstLine="1454"/>
      <w:jc w:val="both"/>
    </w:pPr>
    <w:rPr>
      <w:rFonts w:ascii="仿宋" w:eastAsia="仿宋" w:hAnsi="仿宋"/>
      <w:spacing w:val="-6"/>
      <w:kern w:val="2"/>
      <w:sz w:val="32"/>
      <w:szCs w:val="32"/>
    </w:rPr>
  </w:style>
  <w:style w:type="paragraph" w:styleId="1">
    <w:name w:val="heading 1"/>
    <w:next w:val="a"/>
    <w:qFormat/>
    <w:pPr>
      <w:keepNext/>
      <w:keepLines/>
      <w:numPr>
        <w:numId w:val="1"/>
      </w:numPr>
      <w:adjustRightInd w:val="0"/>
      <w:snapToGrid w:val="0"/>
      <w:spacing w:line="576" w:lineRule="exact"/>
      <w:ind w:firstLineChars="200" w:firstLine="894"/>
      <w:outlineLvl w:val="0"/>
    </w:pPr>
    <w:rPr>
      <w:rFonts w:ascii="黑体" w:eastAsia="黑体" w:hAnsi="黑体"/>
      <w:kern w:val="44"/>
      <w:sz w:val="32"/>
      <w:szCs w:val="32"/>
    </w:rPr>
  </w:style>
  <w:style w:type="paragraph" w:styleId="2">
    <w:name w:val="heading 2"/>
    <w:next w:val="a0"/>
    <w:unhideWhenUsed/>
    <w:qFormat/>
    <w:pPr>
      <w:keepNext/>
      <w:keepLines/>
      <w:numPr>
        <w:ilvl w:val="1"/>
        <w:numId w:val="1"/>
      </w:numPr>
      <w:adjustRightInd w:val="0"/>
      <w:snapToGrid w:val="0"/>
      <w:spacing w:line="576" w:lineRule="exact"/>
      <w:outlineLvl w:val="1"/>
    </w:pPr>
    <w:rPr>
      <w:rFonts w:ascii="楷体" w:eastAsia="楷体" w:hAnsi="楷体"/>
      <w:sz w:val="32"/>
      <w:szCs w:val="32"/>
    </w:rPr>
  </w:style>
  <w:style w:type="paragraph" w:styleId="3">
    <w:name w:val="heading 3"/>
    <w:next w:val="a0"/>
    <w:unhideWhenUsed/>
    <w:qFormat/>
    <w:pPr>
      <w:keepNext/>
      <w:keepLines/>
      <w:numPr>
        <w:ilvl w:val="2"/>
        <w:numId w:val="1"/>
      </w:numPr>
      <w:tabs>
        <w:tab w:val="clear" w:pos="0"/>
        <w:tab w:val="left" w:pos="312"/>
      </w:tabs>
      <w:adjustRightInd w:val="0"/>
      <w:snapToGrid w:val="0"/>
      <w:spacing w:line="576" w:lineRule="exact"/>
      <w:outlineLvl w:val="2"/>
    </w:pPr>
    <w:rPr>
      <w:rFonts w:ascii="仿宋" w:eastAsia="仿宋" w:hAnsi="仿宋"/>
      <w:sz w:val="32"/>
      <w:szCs w:val="32"/>
    </w:rPr>
  </w:style>
  <w:style w:type="paragraph" w:styleId="4">
    <w:name w:val="heading 4"/>
    <w:next w:val="a0"/>
    <w:link w:val="4Char"/>
    <w:unhideWhenUsed/>
    <w:qFormat/>
    <w:pPr>
      <w:keepNext/>
      <w:keepLines/>
      <w:numPr>
        <w:ilvl w:val="3"/>
        <w:numId w:val="1"/>
      </w:numPr>
      <w:adjustRightInd w:val="0"/>
      <w:snapToGrid w:val="0"/>
      <w:spacing w:line="576" w:lineRule="exact"/>
      <w:outlineLvl w:val="3"/>
    </w:pPr>
    <w:rPr>
      <w:rFonts w:ascii="仿宋" w:eastAsia="仿宋" w:hAnsi="仿宋"/>
      <w:sz w:val="32"/>
      <w:szCs w:val="32"/>
    </w:rPr>
  </w:style>
  <w:style w:type="paragraph" w:styleId="5">
    <w:name w:val="heading 5"/>
    <w:next w:val="a0"/>
    <w:unhideWhenUsed/>
    <w:qFormat/>
    <w:pPr>
      <w:numPr>
        <w:ilvl w:val="4"/>
        <w:numId w:val="1"/>
      </w:numPr>
      <w:adjustRightInd w:val="0"/>
      <w:snapToGrid w:val="0"/>
      <w:spacing w:line="576" w:lineRule="exact"/>
      <w:outlineLvl w:val="4"/>
    </w:pPr>
    <w:rPr>
      <w:rFonts w:ascii="仿宋" w:eastAsia="仿宋" w:hAnsi="仿宋"/>
      <w:sz w:val="32"/>
      <w:szCs w:val="32"/>
    </w:rPr>
  </w:style>
  <w:style w:type="paragraph" w:styleId="6">
    <w:name w:val="heading 6"/>
    <w:next w:val="a0"/>
    <w:unhideWhenUsed/>
    <w:qFormat/>
    <w:pPr>
      <w:numPr>
        <w:ilvl w:val="5"/>
        <w:numId w:val="1"/>
      </w:numPr>
      <w:adjustRightInd w:val="0"/>
      <w:snapToGrid w:val="0"/>
      <w:spacing w:line="576" w:lineRule="exact"/>
      <w:outlineLvl w:val="5"/>
    </w:pPr>
    <w:rPr>
      <w:rFonts w:ascii="仿宋" w:eastAsia="仿宋" w:hAnsi="仿宋"/>
      <w:sz w:val="32"/>
      <w:szCs w:val="32"/>
    </w:rPr>
  </w:style>
  <w:style w:type="paragraph" w:styleId="7">
    <w:name w:val="heading 7"/>
    <w:next w:val="a0"/>
    <w:unhideWhenUsed/>
    <w:qFormat/>
    <w:pPr>
      <w:numPr>
        <w:ilvl w:val="6"/>
        <w:numId w:val="1"/>
      </w:numPr>
      <w:adjustRightInd w:val="0"/>
      <w:snapToGrid w:val="0"/>
      <w:spacing w:line="576" w:lineRule="exact"/>
      <w:outlineLvl w:val="6"/>
    </w:pPr>
    <w:rPr>
      <w:rFonts w:ascii="仿宋" w:eastAsia="仿宋" w:hAnsi="仿宋"/>
      <w:sz w:val="32"/>
      <w:szCs w:val="32"/>
    </w:rPr>
  </w:style>
  <w:style w:type="paragraph" w:styleId="8">
    <w:name w:val="heading 8"/>
    <w:next w:val="a0"/>
    <w:unhideWhenUsed/>
    <w:qFormat/>
    <w:pPr>
      <w:numPr>
        <w:ilvl w:val="7"/>
        <w:numId w:val="1"/>
      </w:numPr>
      <w:adjustRightInd w:val="0"/>
      <w:snapToGrid w:val="0"/>
      <w:spacing w:line="576" w:lineRule="exact"/>
      <w:outlineLvl w:val="7"/>
    </w:pPr>
    <w:rPr>
      <w:rFonts w:ascii="仿宋" w:eastAsia="仿宋" w:hAnsi="仿宋"/>
      <w:sz w:val="32"/>
      <w:szCs w:val="32"/>
    </w:rPr>
  </w:style>
  <w:style w:type="paragraph" w:styleId="9">
    <w:name w:val="heading 9"/>
    <w:next w:val="a0"/>
    <w:unhideWhenUsed/>
    <w:qFormat/>
    <w:pPr>
      <w:numPr>
        <w:ilvl w:val="8"/>
        <w:numId w:val="1"/>
      </w:numPr>
      <w:adjustRightInd w:val="0"/>
      <w:snapToGrid w:val="0"/>
      <w:spacing w:line="576" w:lineRule="exact"/>
      <w:outlineLvl w:val="8"/>
    </w:pPr>
    <w:rPr>
      <w:rFonts w:ascii="仿宋" w:eastAsia="仿宋" w:hAnsi="仿宋"/>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link w:val="Char"/>
    <w:qFormat/>
    <w:pPr>
      <w:adjustRightInd w:val="0"/>
      <w:snapToGrid w:val="0"/>
      <w:spacing w:line="576" w:lineRule="exact"/>
      <w:ind w:firstLineChars="200" w:firstLine="630"/>
    </w:pPr>
    <w:rPr>
      <w:rFonts w:ascii="仿宋" w:eastAsia="仿宋" w:hAnsi="仿宋"/>
      <w:spacing w:val="-6"/>
      <w:sz w:val="32"/>
      <w:szCs w:val="32"/>
    </w:rPr>
  </w:style>
  <w:style w:type="paragraph" w:styleId="a4">
    <w:name w:val="caption"/>
    <w:basedOn w:val="a"/>
    <w:next w:val="a"/>
    <w:unhideWhenUsed/>
    <w:qFormat/>
    <w:pPr>
      <w:ind w:firstLineChars="0" w:firstLine="0"/>
    </w:pPr>
    <w:rPr>
      <w:rFonts w:cs="仿宋"/>
      <w:sz w:val="20"/>
    </w:rPr>
  </w:style>
  <w:style w:type="paragraph" w:styleId="a5">
    <w:name w:val="annotation text"/>
    <w:basedOn w:val="a"/>
    <w:qFormat/>
    <w:pPr>
      <w:jc w:val="left"/>
    </w:pPr>
    <w:rPr>
      <w:color w:val="252525"/>
    </w:rPr>
  </w:style>
  <w:style w:type="paragraph" w:styleId="a6">
    <w:name w:val="Salutation"/>
    <w:basedOn w:val="a"/>
    <w:next w:val="a"/>
    <w:qFormat/>
    <w:pPr>
      <w:ind w:firstLineChars="0" w:firstLine="0"/>
    </w:pPr>
  </w:style>
  <w:style w:type="paragraph" w:styleId="30">
    <w:name w:val="List Bullet 3"/>
    <w:basedOn w:val="a"/>
    <w:qFormat/>
    <w:pPr>
      <w:numPr>
        <w:numId w:val="2"/>
      </w:numPr>
    </w:pPr>
    <w:rPr>
      <w:color w:val="252525"/>
    </w:rPr>
  </w:style>
  <w:style w:type="paragraph" w:styleId="50">
    <w:name w:val="toc 5"/>
    <w:basedOn w:val="a"/>
    <w:next w:val="a"/>
    <w:qFormat/>
    <w:pPr>
      <w:ind w:leftChars="800" w:left="1680"/>
    </w:pPr>
    <w:rPr>
      <w:color w:val="252525"/>
    </w:rPr>
  </w:style>
  <w:style w:type="paragraph" w:styleId="31">
    <w:name w:val="toc 3"/>
    <w:basedOn w:val="a"/>
    <w:next w:val="a"/>
    <w:qFormat/>
    <w:pPr>
      <w:ind w:leftChars="400" w:left="840"/>
    </w:pPr>
    <w:rPr>
      <w:color w:val="252525"/>
    </w:rPr>
  </w:style>
  <w:style w:type="paragraph" w:styleId="a7">
    <w:name w:val="Plain Text"/>
    <w:basedOn w:val="a"/>
    <w:qFormat/>
    <w:rPr>
      <w:rFonts w:ascii="宋体" w:hAnsi="Courier New"/>
      <w:snapToGrid w:val="0"/>
      <w:color w:val="252525"/>
      <w:kern w:val="0"/>
      <w:sz w:val="20"/>
      <w:szCs w:val="21"/>
      <w:lang w:val="zh-CN"/>
    </w:rPr>
  </w:style>
  <w:style w:type="paragraph" w:styleId="a8">
    <w:name w:val="Date"/>
    <w:basedOn w:val="a"/>
    <w:next w:val="a"/>
    <w:qFormat/>
    <w:pPr>
      <w:ind w:firstLineChars="0" w:firstLine="0"/>
      <w:jc w:val="right"/>
    </w:pPr>
    <w:rPr>
      <w:color w:val="252525"/>
    </w:rPr>
  </w:style>
  <w:style w:type="paragraph" w:styleId="a9">
    <w:name w:val="endnote text"/>
    <w:basedOn w:val="a"/>
    <w:qFormat/>
    <w:pPr>
      <w:jc w:val="left"/>
    </w:pPr>
    <w:rPr>
      <w:color w:val="252525"/>
    </w:rPr>
  </w:style>
  <w:style w:type="paragraph" w:styleId="aa">
    <w:name w:val="Balloon Text"/>
    <w:basedOn w:val="a"/>
    <w:qFormat/>
    <w:rPr>
      <w:sz w:val="18"/>
      <w:szCs w:val="18"/>
    </w:rPr>
  </w:style>
  <w:style w:type="paragraph" w:styleId="ab">
    <w:name w:val="footer"/>
    <w:basedOn w:val="a"/>
    <w:qFormat/>
    <w:pPr>
      <w:tabs>
        <w:tab w:val="center" w:pos="4153"/>
        <w:tab w:val="right" w:pos="8306"/>
      </w:tabs>
      <w:ind w:firstLineChars="0" w:firstLine="0"/>
      <w:jc w:val="left"/>
    </w:pPr>
    <w:rPr>
      <w:sz w:val="18"/>
      <w:szCs w:val="18"/>
    </w:rPr>
  </w:style>
  <w:style w:type="paragraph" w:styleId="ac">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pacing w:line="240" w:lineRule="auto"/>
      <w:ind w:firstLineChars="0" w:firstLine="0"/>
    </w:pPr>
    <w:rPr>
      <w:sz w:val="18"/>
      <w:szCs w:val="18"/>
    </w:rPr>
  </w:style>
  <w:style w:type="paragraph" w:styleId="ad">
    <w:name w:val="Signature"/>
    <w:basedOn w:val="a"/>
    <w:qFormat/>
    <w:pPr>
      <w:ind w:firstLineChars="0" w:firstLine="0"/>
      <w:jc w:val="right"/>
    </w:pPr>
    <w:rPr>
      <w:color w:val="252525"/>
    </w:rPr>
  </w:style>
  <w:style w:type="paragraph" w:styleId="10">
    <w:name w:val="toc 1"/>
    <w:basedOn w:val="a"/>
    <w:next w:val="a"/>
    <w:qFormat/>
    <w:rPr>
      <w:color w:val="252525"/>
    </w:rPr>
  </w:style>
  <w:style w:type="paragraph" w:styleId="40">
    <w:name w:val="toc 4"/>
    <w:basedOn w:val="a"/>
    <w:next w:val="a"/>
    <w:qFormat/>
    <w:pPr>
      <w:ind w:leftChars="600" w:left="1260"/>
    </w:pPr>
    <w:rPr>
      <w:color w:val="252525"/>
    </w:rPr>
  </w:style>
  <w:style w:type="paragraph" w:styleId="ae">
    <w:name w:val="Subtitle"/>
    <w:next w:val="a0"/>
    <w:link w:val="Char0"/>
    <w:qFormat/>
    <w:pPr>
      <w:adjustRightInd w:val="0"/>
      <w:snapToGrid w:val="0"/>
      <w:spacing w:line="720" w:lineRule="exact"/>
      <w:jc w:val="center"/>
      <w:outlineLvl w:val="1"/>
    </w:pPr>
    <w:rPr>
      <w:rFonts w:ascii="黑体" w:eastAsia="黑体" w:hAnsi="黑体"/>
      <w:kern w:val="28"/>
      <w:sz w:val="36"/>
      <w:szCs w:val="36"/>
    </w:rPr>
  </w:style>
  <w:style w:type="paragraph" w:styleId="af">
    <w:name w:val="footnote text"/>
    <w:basedOn w:val="a"/>
    <w:qFormat/>
    <w:pPr>
      <w:jc w:val="left"/>
    </w:pPr>
    <w:rPr>
      <w:sz w:val="18"/>
      <w:szCs w:val="18"/>
    </w:rPr>
  </w:style>
  <w:style w:type="paragraph" w:styleId="20">
    <w:name w:val="toc 2"/>
    <w:basedOn w:val="a"/>
    <w:next w:val="a"/>
    <w:qFormat/>
    <w:pPr>
      <w:ind w:leftChars="200" w:left="420"/>
    </w:pPr>
    <w:rPr>
      <w:color w:val="252525"/>
    </w:rPr>
  </w:style>
  <w:style w:type="paragraph" w:styleId="af0">
    <w:name w:val="Normal (Web)"/>
    <w:basedOn w:val="a"/>
    <w:qFormat/>
    <w:rPr>
      <w:sz w:val="24"/>
      <w:szCs w:val="24"/>
    </w:rPr>
  </w:style>
  <w:style w:type="paragraph" w:styleId="af1">
    <w:name w:val="Title"/>
    <w:link w:val="Char1"/>
    <w:qFormat/>
    <w:pPr>
      <w:adjustRightInd w:val="0"/>
      <w:snapToGrid w:val="0"/>
      <w:spacing w:after="296" w:line="720" w:lineRule="exact"/>
      <w:jc w:val="center"/>
      <w:outlineLvl w:val="0"/>
    </w:pPr>
    <w:rPr>
      <w:rFonts w:ascii="方正小标宋简体" w:eastAsia="方正小标宋简体" w:hAnsi="方正小标宋简体"/>
      <w:color w:val="252525"/>
      <w:sz w:val="44"/>
      <w:szCs w:val="44"/>
    </w:rPr>
  </w:style>
  <w:style w:type="paragraph" w:styleId="af2">
    <w:name w:val="annotation subject"/>
    <w:basedOn w:val="a5"/>
    <w:next w:val="a5"/>
    <w:qFormat/>
    <w:rPr>
      <w:b/>
    </w:rPr>
  </w:style>
  <w:style w:type="table" w:styleId="af3">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qFormat/>
    <w:rPr>
      <w:rFonts w:ascii="仿宋" w:eastAsia="仿宋" w:hAnsi="仿宋" w:cs="Times New Roman"/>
      <w:b/>
      <w:bCs/>
      <w:color w:val="252525"/>
      <w:spacing w:val="-6"/>
      <w:kern w:val="2"/>
      <w:sz w:val="32"/>
      <w:szCs w:val="32"/>
      <w:u w:val="single"/>
      <w:lang w:val="en-US" w:eastAsia="zh-CN" w:bidi="ar-SA"/>
    </w:rPr>
  </w:style>
  <w:style w:type="character" w:styleId="af5">
    <w:name w:val="endnote reference"/>
    <w:basedOn w:val="a1"/>
    <w:qFormat/>
    <w:rPr>
      <w:rFonts w:ascii="仿宋" w:eastAsia="仿宋" w:hAnsi="仿宋"/>
      <w:color w:val="252525"/>
      <w:vertAlign w:val="superscript"/>
    </w:rPr>
  </w:style>
  <w:style w:type="character" w:styleId="af6">
    <w:name w:val="page number"/>
    <w:qFormat/>
    <w:rPr>
      <w:rFonts w:ascii="宋体" w:eastAsia="宋体" w:hAnsi="宋体" w:cs="Times New Roman"/>
      <w:color w:val="252525"/>
      <w:spacing w:val="-6"/>
      <w:kern w:val="2"/>
      <w:sz w:val="28"/>
      <w:szCs w:val="28"/>
      <w:lang w:val="en-US" w:eastAsia="zh-CN" w:bidi="ar-SA"/>
    </w:rPr>
  </w:style>
  <w:style w:type="character" w:styleId="af7">
    <w:name w:val="FollowedHyperlink"/>
    <w:basedOn w:val="a1"/>
    <w:qFormat/>
    <w:rPr>
      <w:rFonts w:ascii="仿宋" w:eastAsia="仿宋" w:hAnsi="仿宋" w:cs="Times New Roman"/>
      <w:color w:val="800080"/>
      <w:spacing w:val="-6"/>
      <w:kern w:val="2"/>
      <w:sz w:val="32"/>
      <w:szCs w:val="32"/>
      <w:u w:val="single"/>
      <w:lang w:val="en-US" w:eastAsia="zh-CN" w:bidi="ar-SA"/>
    </w:rPr>
  </w:style>
  <w:style w:type="character" w:styleId="af8">
    <w:name w:val="Emphasis"/>
    <w:qFormat/>
    <w:rPr>
      <w:rFonts w:ascii="仿宋" w:eastAsia="仿宋" w:hAnsi="仿宋" w:cs="Times New Roman"/>
      <w:b/>
      <w:bCs/>
      <w:color w:val="252525"/>
      <w:spacing w:val="-6"/>
      <w:kern w:val="2"/>
      <w:sz w:val="32"/>
      <w:szCs w:val="32"/>
      <w:lang w:val="en-US" w:eastAsia="zh-CN" w:bidi="ar-SA"/>
    </w:rPr>
  </w:style>
  <w:style w:type="character" w:styleId="af9">
    <w:name w:val="Hyperlink"/>
    <w:basedOn w:val="a1"/>
    <w:qFormat/>
    <w:rPr>
      <w:rFonts w:ascii="仿宋" w:eastAsia="仿宋" w:hAnsi="仿宋" w:cs="Times New Roman"/>
      <w:caps/>
      <w:color w:val="0000FF"/>
      <w:spacing w:val="-6"/>
      <w:kern w:val="2"/>
      <w:sz w:val="32"/>
      <w:szCs w:val="32"/>
      <w:u w:val="single"/>
      <w:lang w:val="en-US" w:eastAsia="zh-CN" w:bidi="ar-SA"/>
    </w:rPr>
  </w:style>
  <w:style w:type="character" w:styleId="afa">
    <w:name w:val="annotation reference"/>
    <w:basedOn w:val="a1"/>
    <w:qFormat/>
    <w:rPr>
      <w:rFonts w:ascii="仿宋" w:eastAsia="仿宋" w:hAnsi="仿宋"/>
      <w:color w:val="252525"/>
      <w:sz w:val="21"/>
      <w:szCs w:val="21"/>
    </w:rPr>
  </w:style>
  <w:style w:type="character" w:styleId="afb">
    <w:name w:val="footnote reference"/>
    <w:basedOn w:val="a1"/>
    <w:qFormat/>
    <w:rPr>
      <w:rFonts w:ascii="仿宋" w:eastAsia="仿宋" w:hAnsi="仿宋"/>
      <w:color w:val="252525"/>
      <w:vertAlign w:val="superscript"/>
    </w:rPr>
  </w:style>
  <w:style w:type="character" w:customStyle="1" w:styleId="Char">
    <w:name w:val="正文文本 Char"/>
    <w:link w:val="a0"/>
    <w:qFormat/>
    <w:rPr>
      <w:rFonts w:ascii="仿宋" w:eastAsia="仿宋" w:hAnsi="仿宋" w:cs="Times New Roman"/>
      <w:color w:val="auto"/>
      <w:spacing w:val="-6"/>
      <w:sz w:val="32"/>
      <w:szCs w:val="32"/>
      <w:lang w:val="en-US" w:eastAsia="zh-CN" w:bidi="ar-SA"/>
    </w:rPr>
  </w:style>
  <w:style w:type="character" w:customStyle="1" w:styleId="4Char">
    <w:name w:val="标题 4 Char"/>
    <w:link w:val="4"/>
    <w:uiPriority w:val="9"/>
    <w:qFormat/>
    <w:rPr>
      <w:rFonts w:ascii="仿宋" w:eastAsia="仿宋" w:hAnsi="仿宋" w:cs="Times New Roman"/>
      <w:color w:val="auto"/>
      <w:sz w:val="32"/>
      <w:szCs w:val="32"/>
      <w:lang w:val="en-US" w:eastAsia="zh-CN" w:bidi="ar-SA"/>
    </w:rPr>
  </w:style>
  <w:style w:type="character" w:customStyle="1" w:styleId="Char0">
    <w:name w:val="副标题 Char"/>
    <w:link w:val="ae"/>
    <w:qFormat/>
    <w:rPr>
      <w:rFonts w:ascii="黑体" w:eastAsia="黑体" w:hAnsi="黑体" w:cs="Times New Roman"/>
      <w:color w:val="auto"/>
      <w:kern w:val="28"/>
      <w:sz w:val="36"/>
      <w:szCs w:val="36"/>
      <w:lang w:val="en-US" w:eastAsia="zh-CN" w:bidi="ar-SA"/>
    </w:rPr>
  </w:style>
  <w:style w:type="character" w:customStyle="1" w:styleId="Char1">
    <w:name w:val="标题 Char"/>
    <w:link w:val="af1"/>
    <w:qFormat/>
    <w:rPr>
      <w:rFonts w:ascii="方正小标宋简体" w:eastAsia="方正小标宋简体" w:hAnsi="方正小标宋简体" w:cs="Times New Roman"/>
      <w:color w:val="252525"/>
      <w:sz w:val="44"/>
      <w:szCs w:val="44"/>
      <w:lang w:val="en-US" w:eastAsia="zh-CN" w:bidi="ar-SA"/>
    </w:rPr>
  </w:style>
  <w:style w:type="paragraph" w:customStyle="1" w:styleId="afc">
    <w:name w:val="目录标题"/>
    <w:qFormat/>
    <w:pPr>
      <w:adjustRightInd w:val="0"/>
      <w:jc w:val="center"/>
      <w:textAlignment w:val="center"/>
    </w:pPr>
    <w:rPr>
      <w:rFonts w:ascii="黑体" w:eastAsia="黑体" w:hAnsi="黑体"/>
      <w:sz w:val="32"/>
      <w:szCs w:val="32"/>
    </w:rPr>
  </w:style>
  <w:style w:type="paragraph" w:customStyle="1" w:styleId="afd">
    <w:name w:val="章标题"/>
    <w:basedOn w:val="a"/>
    <w:next w:val="a"/>
    <w:qFormat/>
    <w:pPr>
      <w:spacing w:line="720" w:lineRule="exact"/>
      <w:ind w:firstLineChars="0" w:firstLine="0"/>
      <w:jc w:val="center"/>
      <w:outlineLvl w:val="0"/>
    </w:pPr>
    <w:rPr>
      <w:rFonts w:ascii="黑体" w:eastAsia="黑体" w:hAnsi="黑体" w:hint="eastAsia"/>
      <w:kern w:val="44"/>
      <w:sz w:val="36"/>
      <w:szCs w:val="36"/>
    </w:rPr>
  </w:style>
  <w:style w:type="paragraph" w:customStyle="1" w:styleId="11">
    <w:name w:val="题注1"/>
    <w:basedOn w:val="a"/>
    <w:qFormat/>
    <w:pPr>
      <w:ind w:firstLineChars="0" w:firstLine="0"/>
    </w:pPr>
    <w:rPr>
      <w:rFonts w:hint="eastAsia"/>
      <w:sz w:val="20"/>
      <w:szCs w:val="20"/>
    </w:rPr>
  </w:style>
  <w:style w:type="paragraph" w:customStyle="1" w:styleId="afe">
    <w:name w:val="文档说明标题"/>
    <w:next w:val="a"/>
    <w:qFormat/>
    <w:pPr>
      <w:keepNext/>
      <w:keepLines/>
      <w:tabs>
        <w:tab w:val="left" w:pos="0"/>
      </w:tabs>
      <w:adjustRightInd w:val="0"/>
      <w:snapToGrid w:val="0"/>
      <w:spacing w:line="720" w:lineRule="exact"/>
      <w:jc w:val="center"/>
      <w:outlineLvl w:val="0"/>
    </w:pPr>
    <w:rPr>
      <w:rFonts w:ascii="黑体" w:eastAsia="黑体" w:hAnsi="黑体"/>
      <w:kern w:val="44"/>
      <w:sz w:val="36"/>
      <w:szCs w:val="36"/>
    </w:rPr>
  </w:style>
  <w:style w:type="paragraph" w:customStyle="1" w:styleId="aff">
    <w:name w:val="节标题"/>
    <w:next w:val="a"/>
    <w:qFormat/>
    <w:pPr>
      <w:tabs>
        <w:tab w:val="left" w:pos="0"/>
      </w:tabs>
      <w:adjustRightInd w:val="0"/>
      <w:snapToGrid w:val="0"/>
      <w:spacing w:line="720" w:lineRule="exact"/>
      <w:jc w:val="center"/>
    </w:pPr>
    <w:rPr>
      <w:rFonts w:ascii="黑体" w:eastAsia="黑体" w:hAnsi="黑体"/>
      <w:sz w:val="32"/>
      <w:szCs w:val="32"/>
    </w:rPr>
  </w:style>
  <w:style w:type="paragraph" w:customStyle="1" w:styleId="aff0">
    <w:name w:val="附录标题"/>
    <w:next w:val="a0"/>
    <w:qFormat/>
    <w:pPr>
      <w:overflowPunct w:val="0"/>
      <w:topLinePunct/>
      <w:adjustRightInd w:val="0"/>
      <w:snapToGrid w:val="0"/>
      <w:spacing w:line="720" w:lineRule="exact"/>
      <w:jc w:val="center"/>
    </w:pPr>
    <w:rPr>
      <w:rFonts w:ascii="黑体" w:eastAsia="黑体" w:hAnsi="黑体" w:hint="eastAsia"/>
      <w:sz w:val="36"/>
      <w:szCs w:val="36"/>
    </w:rPr>
  </w:style>
  <w:style w:type="character" w:customStyle="1" w:styleId="aff1">
    <w:name w:val="参考文献条目"/>
    <w:basedOn w:val="a1"/>
    <w:qFormat/>
    <w:rPr>
      <w:rFonts w:ascii="黑体" w:eastAsia="黑体" w:hAnsi="黑体" w:cs="Times New Roman"/>
      <w:color w:val="252525"/>
      <w:sz w:val="30"/>
      <w:szCs w:val="30"/>
      <w:lang w:val="en-US" w:eastAsia="zh-CN"/>
    </w:rPr>
  </w:style>
  <w:style w:type="character" w:customStyle="1" w:styleId="aff2">
    <w:name w:val="着重标题"/>
    <w:basedOn w:val="a1"/>
    <w:qFormat/>
    <w:rPr>
      <w:rFonts w:ascii="黑体" w:eastAsia="黑体" w:hAnsi="黑体" w:cs="Times New Roman"/>
      <w:color w:val="252525"/>
      <w:sz w:val="30"/>
      <w:szCs w:val="30"/>
      <w:lang w:val="en-US" w:eastAsia="zh-CN"/>
    </w:rPr>
  </w:style>
  <w:style w:type="paragraph" w:customStyle="1" w:styleId="aff3">
    <w:name w:val="主送对象"/>
    <w:next w:val="a0"/>
    <w:qFormat/>
    <w:pPr>
      <w:adjustRightInd w:val="0"/>
      <w:snapToGrid w:val="0"/>
      <w:spacing w:line="576" w:lineRule="exact"/>
    </w:pPr>
    <w:rPr>
      <w:rFonts w:ascii="仿宋" w:eastAsia="仿宋" w:hAnsi="仿宋" w:hint="eastAsia"/>
      <w:sz w:val="32"/>
      <w:szCs w:val="32"/>
    </w:rPr>
  </w:style>
  <w:style w:type="paragraph" w:customStyle="1" w:styleId="aff4">
    <w:name w:val="表格标题"/>
    <w:next w:val="a"/>
    <w:qFormat/>
    <w:pPr>
      <w:overflowPunct w:val="0"/>
      <w:topLinePunct/>
      <w:jc w:val="center"/>
    </w:pPr>
    <w:rPr>
      <w:rFonts w:ascii="仿宋" w:eastAsia="仿宋" w:hAnsi="仿宋" w:hint="eastAsia"/>
      <w:color w:val="252525"/>
      <w:spacing w:val="-6"/>
      <w:sz w:val="32"/>
      <w:szCs w:val="32"/>
    </w:rPr>
  </w:style>
  <w:style w:type="character" w:customStyle="1" w:styleId="aff5">
    <w:name w:val="摘要"/>
    <w:basedOn w:val="a1"/>
    <w:qFormat/>
    <w:rPr>
      <w:rFonts w:ascii="黑体" w:eastAsia="黑体" w:hAnsi="黑体" w:hint="eastAsia"/>
      <w:color w:val="252525"/>
      <w:sz w:val="30"/>
      <w:szCs w:val="30"/>
      <w:lang w:val="en-US" w:eastAsia="zh-CN"/>
    </w:rPr>
  </w:style>
  <w:style w:type="character" w:customStyle="1" w:styleId="aff6">
    <w:name w:val="关键词"/>
    <w:basedOn w:val="a1"/>
    <w:qFormat/>
    <w:rPr>
      <w:rFonts w:ascii="黑体" w:eastAsia="黑体" w:hAnsi="黑体" w:hint="eastAsia"/>
      <w:color w:val="252525"/>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toc 1" w:qFormat="1"/>
    <w:lsdException w:name="toc 2" w:qFormat="1"/>
    <w:lsdException w:name="toc 3" w:qFormat="1"/>
    <w:lsdException w:name="toc 4" w:qFormat="1"/>
    <w:lsdException w:name="toc 5" w:qFormat="1"/>
    <w:lsdException w:name="footnote text" w:qFormat="1"/>
    <w:lsdException w:name="annotation text" w:qFormat="1"/>
    <w:lsdException w:name="header" w:qFormat="1"/>
    <w:lsdException w:name="footer" w:qFormat="1"/>
    <w:lsdException w:name="caption" w:unhideWhenUsed="1" w:qFormat="1"/>
    <w:lsdException w:name="footnote reference" w:qFormat="1"/>
    <w:lsdException w:name="annotation reference" w:qFormat="1"/>
    <w:lsdException w:name="page number" w:qFormat="1"/>
    <w:lsdException w:name="endnote reference" w:qFormat="1"/>
    <w:lsdException w:name="endnote text" w:qFormat="1"/>
    <w:lsdException w:name="List Bullet 3" w:qFormat="1"/>
    <w:lsdException w:name="Title" w:qFormat="1"/>
    <w:lsdException w:name="Signature" w:qFormat="1"/>
    <w:lsdException w:name="Default Paragraph Font" w:semiHidden="1" w:uiPriority="1" w:unhideWhenUsed="1" w:qFormat="1"/>
    <w:lsdException w:name="Body Text" w:qFormat="1"/>
    <w:lsdException w:name="Subtitle" w:qFormat="1"/>
    <w:lsdException w:name="Salutation" w:qFormat="1"/>
    <w:lsdException w:name="Dat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napToGrid w:val="0"/>
      <w:spacing w:line="576" w:lineRule="exact"/>
      <w:ind w:firstLineChars="200" w:firstLine="1454"/>
      <w:jc w:val="both"/>
    </w:pPr>
    <w:rPr>
      <w:rFonts w:ascii="仿宋" w:eastAsia="仿宋" w:hAnsi="仿宋"/>
      <w:spacing w:val="-6"/>
      <w:kern w:val="2"/>
      <w:sz w:val="32"/>
      <w:szCs w:val="32"/>
    </w:rPr>
  </w:style>
  <w:style w:type="paragraph" w:styleId="1">
    <w:name w:val="heading 1"/>
    <w:next w:val="a"/>
    <w:qFormat/>
    <w:pPr>
      <w:keepNext/>
      <w:keepLines/>
      <w:numPr>
        <w:numId w:val="1"/>
      </w:numPr>
      <w:adjustRightInd w:val="0"/>
      <w:snapToGrid w:val="0"/>
      <w:spacing w:line="576" w:lineRule="exact"/>
      <w:ind w:firstLineChars="200" w:firstLine="894"/>
      <w:outlineLvl w:val="0"/>
    </w:pPr>
    <w:rPr>
      <w:rFonts w:ascii="黑体" w:eastAsia="黑体" w:hAnsi="黑体"/>
      <w:kern w:val="44"/>
      <w:sz w:val="32"/>
      <w:szCs w:val="32"/>
    </w:rPr>
  </w:style>
  <w:style w:type="paragraph" w:styleId="2">
    <w:name w:val="heading 2"/>
    <w:next w:val="a0"/>
    <w:unhideWhenUsed/>
    <w:qFormat/>
    <w:pPr>
      <w:keepNext/>
      <w:keepLines/>
      <w:numPr>
        <w:ilvl w:val="1"/>
        <w:numId w:val="1"/>
      </w:numPr>
      <w:adjustRightInd w:val="0"/>
      <w:snapToGrid w:val="0"/>
      <w:spacing w:line="576" w:lineRule="exact"/>
      <w:outlineLvl w:val="1"/>
    </w:pPr>
    <w:rPr>
      <w:rFonts w:ascii="楷体" w:eastAsia="楷体" w:hAnsi="楷体"/>
      <w:sz w:val="32"/>
      <w:szCs w:val="32"/>
    </w:rPr>
  </w:style>
  <w:style w:type="paragraph" w:styleId="3">
    <w:name w:val="heading 3"/>
    <w:next w:val="a0"/>
    <w:unhideWhenUsed/>
    <w:qFormat/>
    <w:pPr>
      <w:keepNext/>
      <w:keepLines/>
      <w:numPr>
        <w:ilvl w:val="2"/>
        <w:numId w:val="1"/>
      </w:numPr>
      <w:tabs>
        <w:tab w:val="clear" w:pos="0"/>
        <w:tab w:val="left" w:pos="312"/>
      </w:tabs>
      <w:adjustRightInd w:val="0"/>
      <w:snapToGrid w:val="0"/>
      <w:spacing w:line="576" w:lineRule="exact"/>
      <w:outlineLvl w:val="2"/>
    </w:pPr>
    <w:rPr>
      <w:rFonts w:ascii="仿宋" w:eastAsia="仿宋" w:hAnsi="仿宋"/>
      <w:sz w:val="32"/>
      <w:szCs w:val="32"/>
    </w:rPr>
  </w:style>
  <w:style w:type="paragraph" w:styleId="4">
    <w:name w:val="heading 4"/>
    <w:next w:val="a0"/>
    <w:link w:val="4Char"/>
    <w:unhideWhenUsed/>
    <w:qFormat/>
    <w:pPr>
      <w:keepNext/>
      <w:keepLines/>
      <w:numPr>
        <w:ilvl w:val="3"/>
        <w:numId w:val="1"/>
      </w:numPr>
      <w:adjustRightInd w:val="0"/>
      <w:snapToGrid w:val="0"/>
      <w:spacing w:line="576" w:lineRule="exact"/>
      <w:outlineLvl w:val="3"/>
    </w:pPr>
    <w:rPr>
      <w:rFonts w:ascii="仿宋" w:eastAsia="仿宋" w:hAnsi="仿宋"/>
      <w:sz w:val="32"/>
      <w:szCs w:val="32"/>
    </w:rPr>
  </w:style>
  <w:style w:type="paragraph" w:styleId="5">
    <w:name w:val="heading 5"/>
    <w:next w:val="a0"/>
    <w:unhideWhenUsed/>
    <w:qFormat/>
    <w:pPr>
      <w:numPr>
        <w:ilvl w:val="4"/>
        <w:numId w:val="1"/>
      </w:numPr>
      <w:adjustRightInd w:val="0"/>
      <w:snapToGrid w:val="0"/>
      <w:spacing w:line="576" w:lineRule="exact"/>
      <w:outlineLvl w:val="4"/>
    </w:pPr>
    <w:rPr>
      <w:rFonts w:ascii="仿宋" w:eastAsia="仿宋" w:hAnsi="仿宋"/>
      <w:sz w:val="32"/>
      <w:szCs w:val="32"/>
    </w:rPr>
  </w:style>
  <w:style w:type="paragraph" w:styleId="6">
    <w:name w:val="heading 6"/>
    <w:next w:val="a0"/>
    <w:unhideWhenUsed/>
    <w:qFormat/>
    <w:pPr>
      <w:numPr>
        <w:ilvl w:val="5"/>
        <w:numId w:val="1"/>
      </w:numPr>
      <w:adjustRightInd w:val="0"/>
      <w:snapToGrid w:val="0"/>
      <w:spacing w:line="576" w:lineRule="exact"/>
      <w:outlineLvl w:val="5"/>
    </w:pPr>
    <w:rPr>
      <w:rFonts w:ascii="仿宋" w:eastAsia="仿宋" w:hAnsi="仿宋"/>
      <w:sz w:val="32"/>
      <w:szCs w:val="32"/>
    </w:rPr>
  </w:style>
  <w:style w:type="paragraph" w:styleId="7">
    <w:name w:val="heading 7"/>
    <w:next w:val="a0"/>
    <w:unhideWhenUsed/>
    <w:qFormat/>
    <w:pPr>
      <w:numPr>
        <w:ilvl w:val="6"/>
        <w:numId w:val="1"/>
      </w:numPr>
      <w:adjustRightInd w:val="0"/>
      <w:snapToGrid w:val="0"/>
      <w:spacing w:line="576" w:lineRule="exact"/>
      <w:outlineLvl w:val="6"/>
    </w:pPr>
    <w:rPr>
      <w:rFonts w:ascii="仿宋" w:eastAsia="仿宋" w:hAnsi="仿宋"/>
      <w:sz w:val="32"/>
      <w:szCs w:val="32"/>
    </w:rPr>
  </w:style>
  <w:style w:type="paragraph" w:styleId="8">
    <w:name w:val="heading 8"/>
    <w:next w:val="a0"/>
    <w:unhideWhenUsed/>
    <w:qFormat/>
    <w:pPr>
      <w:numPr>
        <w:ilvl w:val="7"/>
        <w:numId w:val="1"/>
      </w:numPr>
      <w:adjustRightInd w:val="0"/>
      <w:snapToGrid w:val="0"/>
      <w:spacing w:line="576" w:lineRule="exact"/>
      <w:outlineLvl w:val="7"/>
    </w:pPr>
    <w:rPr>
      <w:rFonts w:ascii="仿宋" w:eastAsia="仿宋" w:hAnsi="仿宋"/>
      <w:sz w:val="32"/>
      <w:szCs w:val="32"/>
    </w:rPr>
  </w:style>
  <w:style w:type="paragraph" w:styleId="9">
    <w:name w:val="heading 9"/>
    <w:next w:val="a0"/>
    <w:unhideWhenUsed/>
    <w:qFormat/>
    <w:pPr>
      <w:numPr>
        <w:ilvl w:val="8"/>
        <w:numId w:val="1"/>
      </w:numPr>
      <w:adjustRightInd w:val="0"/>
      <w:snapToGrid w:val="0"/>
      <w:spacing w:line="576" w:lineRule="exact"/>
      <w:outlineLvl w:val="8"/>
    </w:pPr>
    <w:rPr>
      <w:rFonts w:ascii="仿宋" w:eastAsia="仿宋" w:hAnsi="仿宋"/>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link w:val="Char"/>
    <w:qFormat/>
    <w:pPr>
      <w:adjustRightInd w:val="0"/>
      <w:snapToGrid w:val="0"/>
      <w:spacing w:line="576" w:lineRule="exact"/>
      <w:ind w:firstLineChars="200" w:firstLine="630"/>
    </w:pPr>
    <w:rPr>
      <w:rFonts w:ascii="仿宋" w:eastAsia="仿宋" w:hAnsi="仿宋"/>
      <w:spacing w:val="-6"/>
      <w:sz w:val="32"/>
      <w:szCs w:val="32"/>
    </w:rPr>
  </w:style>
  <w:style w:type="paragraph" w:styleId="a4">
    <w:name w:val="caption"/>
    <w:basedOn w:val="a"/>
    <w:next w:val="a"/>
    <w:unhideWhenUsed/>
    <w:qFormat/>
    <w:pPr>
      <w:ind w:firstLineChars="0" w:firstLine="0"/>
    </w:pPr>
    <w:rPr>
      <w:rFonts w:cs="仿宋"/>
      <w:sz w:val="20"/>
    </w:rPr>
  </w:style>
  <w:style w:type="paragraph" w:styleId="a5">
    <w:name w:val="annotation text"/>
    <w:basedOn w:val="a"/>
    <w:qFormat/>
    <w:pPr>
      <w:jc w:val="left"/>
    </w:pPr>
    <w:rPr>
      <w:color w:val="252525"/>
    </w:rPr>
  </w:style>
  <w:style w:type="paragraph" w:styleId="a6">
    <w:name w:val="Salutation"/>
    <w:basedOn w:val="a"/>
    <w:next w:val="a"/>
    <w:qFormat/>
    <w:pPr>
      <w:ind w:firstLineChars="0" w:firstLine="0"/>
    </w:pPr>
  </w:style>
  <w:style w:type="paragraph" w:styleId="30">
    <w:name w:val="List Bullet 3"/>
    <w:basedOn w:val="a"/>
    <w:qFormat/>
    <w:pPr>
      <w:numPr>
        <w:numId w:val="2"/>
      </w:numPr>
    </w:pPr>
    <w:rPr>
      <w:color w:val="252525"/>
    </w:rPr>
  </w:style>
  <w:style w:type="paragraph" w:styleId="50">
    <w:name w:val="toc 5"/>
    <w:basedOn w:val="a"/>
    <w:next w:val="a"/>
    <w:qFormat/>
    <w:pPr>
      <w:ind w:leftChars="800" w:left="1680"/>
    </w:pPr>
    <w:rPr>
      <w:color w:val="252525"/>
    </w:rPr>
  </w:style>
  <w:style w:type="paragraph" w:styleId="31">
    <w:name w:val="toc 3"/>
    <w:basedOn w:val="a"/>
    <w:next w:val="a"/>
    <w:qFormat/>
    <w:pPr>
      <w:ind w:leftChars="400" w:left="840"/>
    </w:pPr>
    <w:rPr>
      <w:color w:val="252525"/>
    </w:rPr>
  </w:style>
  <w:style w:type="paragraph" w:styleId="a7">
    <w:name w:val="Plain Text"/>
    <w:basedOn w:val="a"/>
    <w:qFormat/>
    <w:rPr>
      <w:rFonts w:ascii="宋体" w:hAnsi="Courier New"/>
      <w:snapToGrid w:val="0"/>
      <w:color w:val="252525"/>
      <w:kern w:val="0"/>
      <w:sz w:val="20"/>
      <w:szCs w:val="21"/>
      <w:lang w:val="zh-CN"/>
    </w:rPr>
  </w:style>
  <w:style w:type="paragraph" w:styleId="a8">
    <w:name w:val="Date"/>
    <w:basedOn w:val="a"/>
    <w:next w:val="a"/>
    <w:qFormat/>
    <w:pPr>
      <w:ind w:firstLineChars="0" w:firstLine="0"/>
      <w:jc w:val="right"/>
    </w:pPr>
    <w:rPr>
      <w:color w:val="252525"/>
    </w:rPr>
  </w:style>
  <w:style w:type="paragraph" w:styleId="a9">
    <w:name w:val="endnote text"/>
    <w:basedOn w:val="a"/>
    <w:qFormat/>
    <w:pPr>
      <w:jc w:val="left"/>
    </w:pPr>
    <w:rPr>
      <w:color w:val="252525"/>
    </w:rPr>
  </w:style>
  <w:style w:type="paragraph" w:styleId="aa">
    <w:name w:val="Balloon Text"/>
    <w:basedOn w:val="a"/>
    <w:qFormat/>
    <w:rPr>
      <w:sz w:val="18"/>
      <w:szCs w:val="18"/>
    </w:rPr>
  </w:style>
  <w:style w:type="paragraph" w:styleId="ab">
    <w:name w:val="footer"/>
    <w:basedOn w:val="a"/>
    <w:qFormat/>
    <w:pPr>
      <w:tabs>
        <w:tab w:val="center" w:pos="4153"/>
        <w:tab w:val="right" w:pos="8306"/>
      </w:tabs>
      <w:ind w:firstLineChars="0" w:firstLine="0"/>
      <w:jc w:val="left"/>
    </w:pPr>
    <w:rPr>
      <w:sz w:val="18"/>
      <w:szCs w:val="18"/>
    </w:rPr>
  </w:style>
  <w:style w:type="paragraph" w:styleId="ac">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pacing w:line="240" w:lineRule="auto"/>
      <w:ind w:firstLineChars="0" w:firstLine="0"/>
    </w:pPr>
    <w:rPr>
      <w:sz w:val="18"/>
      <w:szCs w:val="18"/>
    </w:rPr>
  </w:style>
  <w:style w:type="paragraph" w:styleId="ad">
    <w:name w:val="Signature"/>
    <w:basedOn w:val="a"/>
    <w:qFormat/>
    <w:pPr>
      <w:ind w:firstLineChars="0" w:firstLine="0"/>
      <w:jc w:val="right"/>
    </w:pPr>
    <w:rPr>
      <w:color w:val="252525"/>
    </w:rPr>
  </w:style>
  <w:style w:type="paragraph" w:styleId="10">
    <w:name w:val="toc 1"/>
    <w:basedOn w:val="a"/>
    <w:next w:val="a"/>
    <w:qFormat/>
    <w:rPr>
      <w:color w:val="252525"/>
    </w:rPr>
  </w:style>
  <w:style w:type="paragraph" w:styleId="40">
    <w:name w:val="toc 4"/>
    <w:basedOn w:val="a"/>
    <w:next w:val="a"/>
    <w:qFormat/>
    <w:pPr>
      <w:ind w:leftChars="600" w:left="1260"/>
    </w:pPr>
    <w:rPr>
      <w:color w:val="252525"/>
    </w:rPr>
  </w:style>
  <w:style w:type="paragraph" w:styleId="ae">
    <w:name w:val="Subtitle"/>
    <w:next w:val="a0"/>
    <w:link w:val="Char0"/>
    <w:qFormat/>
    <w:pPr>
      <w:adjustRightInd w:val="0"/>
      <w:snapToGrid w:val="0"/>
      <w:spacing w:line="720" w:lineRule="exact"/>
      <w:jc w:val="center"/>
      <w:outlineLvl w:val="1"/>
    </w:pPr>
    <w:rPr>
      <w:rFonts w:ascii="黑体" w:eastAsia="黑体" w:hAnsi="黑体"/>
      <w:kern w:val="28"/>
      <w:sz w:val="36"/>
      <w:szCs w:val="36"/>
    </w:rPr>
  </w:style>
  <w:style w:type="paragraph" w:styleId="af">
    <w:name w:val="footnote text"/>
    <w:basedOn w:val="a"/>
    <w:qFormat/>
    <w:pPr>
      <w:jc w:val="left"/>
    </w:pPr>
    <w:rPr>
      <w:sz w:val="18"/>
      <w:szCs w:val="18"/>
    </w:rPr>
  </w:style>
  <w:style w:type="paragraph" w:styleId="20">
    <w:name w:val="toc 2"/>
    <w:basedOn w:val="a"/>
    <w:next w:val="a"/>
    <w:qFormat/>
    <w:pPr>
      <w:ind w:leftChars="200" w:left="420"/>
    </w:pPr>
    <w:rPr>
      <w:color w:val="252525"/>
    </w:rPr>
  </w:style>
  <w:style w:type="paragraph" w:styleId="af0">
    <w:name w:val="Normal (Web)"/>
    <w:basedOn w:val="a"/>
    <w:qFormat/>
    <w:rPr>
      <w:sz w:val="24"/>
      <w:szCs w:val="24"/>
    </w:rPr>
  </w:style>
  <w:style w:type="paragraph" w:styleId="af1">
    <w:name w:val="Title"/>
    <w:link w:val="Char1"/>
    <w:qFormat/>
    <w:pPr>
      <w:adjustRightInd w:val="0"/>
      <w:snapToGrid w:val="0"/>
      <w:spacing w:after="296" w:line="720" w:lineRule="exact"/>
      <w:jc w:val="center"/>
      <w:outlineLvl w:val="0"/>
    </w:pPr>
    <w:rPr>
      <w:rFonts w:ascii="方正小标宋简体" w:eastAsia="方正小标宋简体" w:hAnsi="方正小标宋简体"/>
      <w:color w:val="252525"/>
      <w:sz w:val="44"/>
      <w:szCs w:val="44"/>
    </w:rPr>
  </w:style>
  <w:style w:type="paragraph" w:styleId="af2">
    <w:name w:val="annotation subject"/>
    <w:basedOn w:val="a5"/>
    <w:next w:val="a5"/>
    <w:qFormat/>
    <w:rPr>
      <w:b/>
    </w:rPr>
  </w:style>
  <w:style w:type="table" w:styleId="af3">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qFormat/>
    <w:rPr>
      <w:rFonts w:ascii="仿宋" w:eastAsia="仿宋" w:hAnsi="仿宋" w:cs="Times New Roman"/>
      <w:b/>
      <w:bCs/>
      <w:color w:val="252525"/>
      <w:spacing w:val="-6"/>
      <w:kern w:val="2"/>
      <w:sz w:val="32"/>
      <w:szCs w:val="32"/>
      <w:u w:val="single"/>
      <w:lang w:val="en-US" w:eastAsia="zh-CN" w:bidi="ar-SA"/>
    </w:rPr>
  </w:style>
  <w:style w:type="character" w:styleId="af5">
    <w:name w:val="endnote reference"/>
    <w:basedOn w:val="a1"/>
    <w:qFormat/>
    <w:rPr>
      <w:rFonts w:ascii="仿宋" w:eastAsia="仿宋" w:hAnsi="仿宋"/>
      <w:color w:val="252525"/>
      <w:vertAlign w:val="superscript"/>
    </w:rPr>
  </w:style>
  <w:style w:type="character" w:styleId="af6">
    <w:name w:val="page number"/>
    <w:qFormat/>
    <w:rPr>
      <w:rFonts w:ascii="宋体" w:eastAsia="宋体" w:hAnsi="宋体" w:cs="Times New Roman"/>
      <w:color w:val="252525"/>
      <w:spacing w:val="-6"/>
      <w:kern w:val="2"/>
      <w:sz w:val="28"/>
      <w:szCs w:val="28"/>
      <w:lang w:val="en-US" w:eastAsia="zh-CN" w:bidi="ar-SA"/>
    </w:rPr>
  </w:style>
  <w:style w:type="character" w:styleId="af7">
    <w:name w:val="FollowedHyperlink"/>
    <w:basedOn w:val="a1"/>
    <w:qFormat/>
    <w:rPr>
      <w:rFonts w:ascii="仿宋" w:eastAsia="仿宋" w:hAnsi="仿宋" w:cs="Times New Roman"/>
      <w:color w:val="800080"/>
      <w:spacing w:val="-6"/>
      <w:kern w:val="2"/>
      <w:sz w:val="32"/>
      <w:szCs w:val="32"/>
      <w:u w:val="single"/>
      <w:lang w:val="en-US" w:eastAsia="zh-CN" w:bidi="ar-SA"/>
    </w:rPr>
  </w:style>
  <w:style w:type="character" w:styleId="af8">
    <w:name w:val="Emphasis"/>
    <w:qFormat/>
    <w:rPr>
      <w:rFonts w:ascii="仿宋" w:eastAsia="仿宋" w:hAnsi="仿宋" w:cs="Times New Roman"/>
      <w:b/>
      <w:bCs/>
      <w:color w:val="252525"/>
      <w:spacing w:val="-6"/>
      <w:kern w:val="2"/>
      <w:sz w:val="32"/>
      <w:szCs w:val="32"/>
      <w:lang w:val="en-US" w:eastAsia="zh-CN" w:bidi="ar-SA"/>
    </w:rPr>
  </w:style>
  <w:style w:type="character" w:styleId="af9">
    <w:name w:val="Hyperlink"/>
    <w:basedOn w:val="a1"/>
    <w:qFormat/>
    <w:rPr>
      <w:rFonts w:ascii="仿宋" w:eastAsia="仿宋" w:hAnsi="仿宋" w:cs="Times New Roman"/>
      <w:caps/>
      <w:color w:val="0000FF"/>
      <w:spacing w:val="-6"/>
      <w:kern w:val="2"/>
      <w:sz w:val="32"/>
      <w:szCs w:val="32"/>
      <w:u w:val="single"/>
      <w:lang w:val="en-US" w:eastAsia="zh-CN" w:bidi="ar-SA"/>
    </w:rPr>
  </w:style>
  <w:style w:type="character" w:styleId="afa">
    <w:name w:val="annotation reference"/>
    <w:basedOn w:val="a1"/>
    <w:qFormat/>
    <w:rPr>
      <w:rFonts w:ascii="仿宋" w:eastAsia="仿宋" w:hAnsi="仿宋"/>
      <w:color w:val="252525"/>
      <w:sz w:val="21"/>
      <w:szCs w:val="21"/>
    </w:rPr>
  </w:style>
  <w:style w:type="character" w:styleId="afb">
    <w:name w:val="footnote reference"/>
    <w:basedOn w:val="a1"/>
    <w:qFormat/>
    <w:rPr>
      <w:rFonts w:ascii="仿宋" w:eastAsia="仿宋" w:hAnsi="仿宋"/>
      <w:color w:val="252525"/>
      <w:vertAlign w:val="superscript"/>
    </w:rPr>
  </w:style>
  <w:style w:type="character" w:customStyle="1" w:styleId="Char">
    <w:name w:val="正文文本 Char"/>
    <w:link w:val="a0"/>
    <w:qFormat/>
    <w:rPr>
      <w:rFonts w:ascii="仿宋" w:eastAsia="仿宋" w:hAnsi="仿宋" w:cs="Times New Roman"/>
      <w:color w:val="auto"/>
      <w:spacing w:val="-6"/>
      <w:sz w:val="32"/>
      <w:szCs w:val="32"/>
      <w:lang w:val="en-US" w:eastAsia="zh-CN" w:bidi="ar-SA"/>
    </w:rPr>
  </w:style>
  <w:style w:type="character" w:customStyle="1" w:styleId="4Char">
    <w:name w:val="标题 4 Char"/>
    <w:link w:val="4"/>
    <w:uiPriority w:val="9"/>
    <w:qFormat/>
    <w:rPr>
      <w:rFonts w:ascii="仿宋" w:eastAsia="仿宋" w:hAnsi="仿宋" w:cs="Times New Roman"/>
      <w:color w:val="auto"/>
      <w:sz w:val="32"/>
      <w:szCs w:val="32"/>
      <w:lang w:val="en-US" w:eastAsia="zh-CN" w:bidi="ar-SA"/>
    </w:rPr>
  </w:style>
  <w:style w:type="character" w:customStyle="1" w:styleId="Char0">
    <w:name w:val="副标题 Char"/>
    <w:link w:val="ae"/>
    <w:qFormat/>
    <w:rPr>
      <w:rFonts w:ascii="黑体" w:eastAsia="黑体" w:hAnsi="黑体" w:cs="Times New Roman"/>
      <w:color w:val="auto"/>
      <w:kern w:val="28"/>
      <w:sz w:val="36"/>
      <w:szCs w:val="36"/>
      <w:lang w:val="en-US" w:eastAsia="zh-CN" w:bidi="ar-SA"/>
    </w:rPr>
  </w:style>
  <w:style w:type="character" w:customStyle="1" w:styleId="Char1">
    <w:name w:val="标题 Char"/>
    <w:link w:val="af1"/>
    <w:qFormat/>
    <w:rPr>
      <w:rFonts w:ascii="方正小标宋简体" w:eastAsia="方正小标宋简体" w:hAnsi="方正小标宋简体" w:cs="Times New Roman"/>
      <w:color w:val="252525"/>
      <w:sz w:val="44"/>
      <w:szCs w:val="44"/>
      <w:lang w:val="en-US" w:eastAsia="zh-CN" w:bidi="ar-SA"/>
    </w:rPr>
  </w:style>
  <w:style w:type="paragraph" w:customStyle="1" w:styleId="afc">
    <w:name w:val="目录标题"/>
    <w:qFormat/>
    <w:pPr>
      <w:adjustRightInd w:val="0"/>
      <w:jc w:val="center"/>
      <w:textAlignment w:val="center"/>
    </w:pPr>
    <w:rPr>
      <w:rFonts w:ascii="黑体" w:eastAsia="黑体" w:hAnsi="黑体"/>
      <w:sz w:val="32"/>
      <w:szCs w:val="32"/>
    </w:rPr>
  </w:style>
  <w:style w:type="paragraph" w:customStyle="1" w:styleId="afd">
    <w:name w:val="章标题"/>
    <w:basedOn w:val="a"/>
    <w:next w:val="a"/>
    <w:qFormat/>
    <w:pPr>
      <w:spacing w:line="720" w:lineRule="exact"/>
      <w:ind w:firstLineChars="0" w:firstLine="0"/>
      <w:jc w:val="center"/>
      <w:outlineLvl w:val="0"/>
    </w:pPr>
    <w:rPr>
      <w:rFonts w:ascii="黑体" w:eastAsia="黑体" w:hAnsi="黑体" w:hint="eastAsia"/>
      <w:kern w:val="44"/>
      <w:sz w:val="36"/>
      <w:szCs w:val="36"/>
    </w:rPr>
  </w:style>
  <w:style w:type="paragraph" w:customStyle="1" w:styleId="11">
    <w:name w:val="题注1"/>
    <w:basedOn w:val="a"/>
    <w:qFormat/>
    <w:pPr>
      <w:ind w:firstLineChars="0" w:firstLine="0"/>
    </w:pPr>
    <w:rPr>
      <w:rFonts w:hint="eastAsia"/>
      <w:sz w:val="20"/>
      <w:szCs w:val="20"/>
    </w:rPr>
  </w:style>
  <w:style w:type="paragraph" w:customStyle="1" w:styleId="afe">
    <w:name w:val="文档说明标题"/>
    <w:next w:val="a"/>
    <w:qFormat/>
    <w:pPr>
      <w:keepNext/>
      <w:keepLines/>
      <w:tabs>
        <w:tab w:val="left" w:pos="0"/>
      </w:tabs>
      <w:adjustRightInd w:val="0"/>
      <w:snapToGrid w:val="0"/>
      <w:spacing w:line="720" w:lineRule="exact"/>
      <w:jc w:val="center"/>
      <w:outlineLvl w:val="0"/>
    </w:pPr>
    <w:rPr>
      <w:rFonts w:ascii="黑体" w:eastAsia="黑体" w:hAnsi="黑体"/>
      <w:kern w:val="44"/>
      <w:sz w:val="36"/>
      <w:szCs w:val="36"/>
    </w:rPr>
  </w:style>
  <w:style w:type="paragraph" w:customStyle="1" w:styleId="aff">
    <w:name w:val="节标题"/>
    <w:next w:val="a"/>
    <w:qFormat/>
    <w:pPr>
      <w:tabs>
        <w:tab w:val="left" w:pos="0"/>
      </w:tabs>
      <w:adjustRightInd w:val="0"/>
      <w:snapToGrid w:val="0"/>
      <w:spacing w:line="720" w:lineRule="exact"/>
      <w:jc w:val="center"/>
    </w:pPr>
    <w:rPr>
      <w:rFonts w:ascii="黑体" w:eastAsia="黑体" w:hAnsi="黑体"/>
      <w:sz w:val="32"/>
      <w:szCs w:val="32"/>
    </w:rPr>
  </w:style>
  <w:style w:type="paragraph" w:customStyle="1" w:styleId="aff0">
    <w:name w:val="附录标题"/>
    <w:next w:val="a0"/>
    <w:qFormat/>
    <w:pPr>
      <w:overflowPunct w:val="0"/>
      <w:topLinePunct/>
      <w:adjustRightInd w:val="0"/>
      <w:snapToGrid w:val="0"/>
      <w:spacing w:line="720" w:lineRule="exact"/>
      <w:jc w:val="center"/>
    </w:pPr>
    <w:rPr>
      <w:rFonts w:ascii="黑体" w:eastAsia="黑体" w:hAnsi="黑体" w:hint="eastAsia"/>
      <w:sz w:val="36"/>
      <w:szCs w:val="36"/>
    </w:rPr>
  </w:style>
  <w:style w:type="character" w:customStyle="1" w:styleId="aff1">
    <w:name w:val="参考文献条目"/>
    <w:basedOn w:val="a1"/>
    <w:qFormat/>
    <w:rPr>
      <w:rFonts w:ascii="黑体" w:eastAsia="黑体" w:hAnsi="黑体" w:cs="Times New Roman"/>
      <w:color w:val="252525"/>
      <w:sz w:val="30"/>
      <w:szCs w:val="30"/>
      <w:lang w:val="en-US" w:eastAsia="zh-CN"/>
    </w:rPr>
  </w:style>
  <w:style w:type="character" w:customStyle="1" w:styleId="aff2">
    <w:name w:val="着重标题"/>
    <w:basedOn w:val="a1"/>
    <w:qFormat/>
    <w:rPr>
      <w:rFonts w:ascii="黑体" w:eastAsia="黑体" w:hAnsi="黑体" w:cs="Times New Roman"/>
      <w:color w:val="252525"/>
      <w:sz w:val="30"/>
      <w:szCs w:val="30"/>
      <w:lang w:val="en-US" w:eastAsia="zh-CN"/>
    </w:rPr>
  </w:style>
  <w:style w:type="paragraph" w:customStyle="1" w:styleId="aff3">
    <w:name w:val="主送对象"/>
    <w:next w:val="a0"/>
    <w:qFormat/>
    <w:pPr>
      <w:adjustRightInd w:val="0"/>
      <w:snapToGrid w:val="0"/>
      <w:spacing w:line="576" w:lineRule="exact"/>
    </w:pPr>
    <w:rPr>
      <w:rFonts w:ascii="仿宋" w:eastAsia="仿宋" w:hAnsi="仿宋" w:hint="eastAsia"/>
      <w:sz w:val="32"/>
      <w:szCs w:val="32"/>
    </w:rPr>
  </w:style>
  <w:style w:type="paragraph" w:customStyle="1" w:styleId="aff4">
    <w:name w:val="表格标题"/>
    <w:next w:val="a"/>
    <w:qFormat/>
    <w:pPr>
      <w:overflowPunct w:val="0"/>
      <w:topLinePunct/>
      <w:jc w:val="center"/>
    </w:pPr>
    <w:rPr>
      <w:rFonts w:ascii="仿宋" w:eastAsia="仿宋" w:hAnsi="仿宋" w:hint="eastAsia"/>
      <w:color w:val="252525"/>
      <w:spacing w:val="-6"/>
      <w:sz w:val="32"/>
      <w:szCs w:val="32"/>
    </w:rPr>
  </w:style>
  <w:style w:type="character" w:customStyle="1" w:styleId="aff5">
    <w:name w:val="摘要"/>
    <w:basedOn w:val="a1"/>
    <w:qFormat/>
    <w:rPr>
      <w:rFonts w:ascii="黑体" w:eastAsia="黑体" w:hAnsi="黑体" w:hint="eastAsia"/>
      <w:color w:val="252525"/>
      <w:sz w:val="30"/>
      <w:szCs w:val="30"/>
      <w:lang w:val="en-US" w:eastAsia="zh-CN"/>
    </w:rPr>
  </w:style>
  <w:style w:type="character" w:customStyle="1" w:styleId="aff6">
    <w:name w:val="关键词"/>
    <w:basedOn w:val="a1"/>
    <w:qFormat/>
    <w:rPr>
      <w:rFonts w:ascii="黑体" w:eastAsia="黑体" w:hAnsi="黑体" w:hint="eastAsia"/>
      <w:color w:val="252525"/>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512</Words>
  <Characters>2925</Characters>
  <Application>Microsoft Office Word</Application>
  <DocSecurity>0</DocSecurity>
  <Lines>24</Lines>
  <Paragraphs>6</Paragraphs>
  <ScaleCrop>false</ScaleCrop>
  <Company>P R C</Company>
  <LinksUpToDate>false</LinksUpToDate>
  <CharactersWithSpaces>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lhj</dc:creator>
  <cp:lastModifiedBy>Windows User</cp:lastModifiedBy>
  <cp:revision>2</cp:revision>
  <cp:lastPrinted>2026-08-18T07:42:00Z</cp:lastPrinted>
  <dcterms:created xsi:type="dcterms:W3CDTF">2026-08-21T07:03:00Z</dcterms:created>
  <dcterms:modified xsi:type="dcterms:W3CDTF">2026-08-21T07:03:00Z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eyJoZGlkIjoiNTc2YzNhNDg3ZTYwYThkNTJmNmNjYzk3MmM1Yjc3MjEiLCJ1c2VySWQiOiIxMTM3OTg0NDkxIn0=</vt:lpwstr>
  </property>
  <property fmtid="{D5CDD505-2E9C-101B-9397-08002B2CF9AE}" pid="4" name="ICV">
    <vt:lpwstr>7FECF7ED2AC64BDCBAF632993C98C12A_13</vt:lpwstr>
  </property>
</Properties>
</file>