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D8606">
      <w:pPr>
        <w:pStyle w:val="2"/>
        <w:spacing w:line="560" w:lineRule="exact"/>
        <w:ind w:firstLine="0" w:firstLineChars="0"/>
        <w:rPr>
          <w:rFonts w:eastAsia="黑体"/>
        </w:rPr>
      </w:pPr>
      <w:r>
        <w:rPr>
          <w:rFonts w:hint="eastAsia" w:eastAsia="黑体"/>
        </w:rPr>
        <w:t>附件1</w:t>
      </w:r>
    </w:p>
    <w:p w14:paraId="5E6FB7CC"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淮安市数字经济高质量发展三年行动计划</w:t>
      </w:r>
    </w:p>
    <w:p w14:paraId="7EEB0105">
      <w:pPr>
        <w:pStyle w:val="2"/>
        <w:spacing w:line="640" w:lineRule="exact"/>
        <w:ind w:firstLine="0" w:firstLineChars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（2025—2027年）</w:t>
      </w:r>
    </w:p>
    <w:p w14:paraId="0817706C">
      <w:pPr>
        <w:pStyle w:val="2"/>
        <w:spacing w:line="560" w:lineRule="exact"/>
        <w:ind w:firstLine="0" w:firstLineChars="0"/>
        <w:jc w:val="center"/>
        <w:rPr>
          <w:rFonts w:eastAsia="方正楷体_GBK"/>
        </w:rPr>
      </w:pPr>
      <w:r>
        <w:rPr>
          <w:rFonts w:eastAsia="方正楷体_GBK"/>
        </w:rPr>
        <w:t>（征求意见稿）</w:t>
      </w:r>
    </w:p>
    <w:p w14:paraId="252406B0">
      <w:pPr>
        <w:widowControl/>
        <w:spacing w:line="560" w:lineRule="exact"/>
        <w:ind w:firstLine="640" w:firstLineChars="200"/>
        <w:outlineLvl w:val="0"/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</w:pPr>
    </w:p>
    <w:p w14:paraId="606E1220">
      <w:pPr>
        <w:pStyle w:val="2"/>
        <w:spacing w:line="560" w:lineRule="exact"/>
        <w:ind w:firstLine="640"/>
        <w:rPr>
          <w:rFonts w:eastAsia="方正仿宋_GBK"/>
          <w:spacing w:val="0"/>
          <w:kern w:val="0"/>
          <w:lang w:bidi="ar"/>
        </w:rPr>
      </w:pPr>
      <w:r>
        <w:rPr>
          <w:rFonts w:eastAsia="方正仿宋_GBK"/>
          <w:spacing w:val="0"/>
          <w:kern w:val="0"/>
          <w:lang w:bidi="ar"/>
        </w:rPr>
        <w:t>为深入贯彻落实党中央、国务院和省委、省政府关于发展数字经济的决策部署，</w:t>
      </w:r>
      <w:r>
        <w:rPr>
          <w:rFonts w:hint="eastAsia" w:eastAsia="方正仿宋_GBK"/>
          <w:spacing w:val="0"/>
          <w:kern w:val="0"/>
          <w:lang w:bidi="ar"/>
        </w:rPr>
        <w:t>推动淮安</w:t>
      </w:r>
      <w:r>
        <w:rPr>
          <w:rFonts w:eastAsia="方正仿宋_GBK"/>
          <w:spacing w:val="0"/>
          <w:kern w:val="0"/>
          <w:lang w:bidi="ar"/>
        </w:rPr>
        <w:t>数字经济</w:t>
      </w:r>
      <w:r>
        <w:rPr>
          <w:rFonts w:hint="eastAsia" w:eastAsia="方正仿宋_GBK"/>
          <w:spacing w:val="0"/>
          <w:kern w:val="0"/>
          <w:lang w:bidi="ar"/>
        </w:rPr>
        <w:t>高质量</w:t>
      </w:r>
      <w:r>
        <w:rPr>
          <w:rFonts w:eastAsia="方正仿宋_GBK"/>
          <w:spacing w:val="0"/>
          <w:kern w:val="0"/>
          <w:lang w:bidi="ar"/>
        </w:rPr>
        <w:t>发展，结合我市实际，制定本行动计划。</w:t>
      </w:r>
    </w:p>
    <w:p w14:paraId="33AC05A9">
      <w:pPr>
        <w:widowControl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  <w:t>一、总体要求</w:t>
      </w:r>
    </w:p>
    <w:p w14:paraId="3BF9F86C">
      <w:pPr>
        <w:spacing w:line="560" w:lineRule="exact"/>
        <w:ind w:firstLine="640" w:firstLineChars="200"/>
        <w:outlineLvl w:val="1"/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以习近平新时代中国特色社会主义思想为指导，全面落实党的二十大和二十届二中、三中全会精神，完整准确全面贯彻新发展理念，把发展数字经济作为全市培育新质生产力、打造现代化产业体系的重要抓手。坚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“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数据赋能、集群发展，实数融合、生态打造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”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相结合，加快构建以数据为关键要素的数字经济发展体系，为打造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“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绿色高地、枢纽新城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”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、全面建设长三角北部现代化中心城市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注入强劲动能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。到2027年，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实现全市数字经济核心产业增加值突破500亿元，基本建成数据要素市场体系，显著提升数据流通利用水平；着力打造一批具有区域乃至全国影响力的数字产业集群，推动实体经济与数字经济深度融合；培育一批掌握核心技术、具备市场竞争力的数字经济企业。</w:t>
      </w:r>
    </w:p>
    <w:p w14:paraId="7A2DBFAC">
      <w:pPr>
        <w:spacing w:line="560" w:lineRule="exact"/>
        <w:ind w:firstLine="640" w:firstLineChars="200"/>
        <w:outlineLvl w:val="1"/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  <w:t>二、重点任务</w:t>
      </w:r>
    </w:p>
    <w:p w14:paraId="7C33CBD0">
      <w:pPr>
        <w:widowControl/>
        <w:spacing w:line="560" w:lineRule="exact"/>
        <w:ind w:firstLine="640" w:firstLineChars="200"/>
        <w:outlineLvl w:val="0"/>
        <w:rPr>
          <w:rFonts w:ascii="Times New Roman" w:hAnsi="Times New Roman" w:eastAsia="方正楷体_GBK" w:cs="Times New Roman"/>
          <w:kern w:val="32"/>
          <w:sz w:val="32"/>
          <w:szCs w:val="32"/>
        </w:rPr>
      </w:pPr>
      <w:r>
        <w:rPr>
          <w:rFonts w:ascii="Times New Roman" w:hAnsi="Times New Roman" w:eastAsia="方正楷体_GBK" w:cs="Times New Roman"/>
          <w:kern w:val="32"/>
          <w:sz w:val="32"/>
          <w:szCs w:val="32"/>
        </w:rPr>
        <w:t>（一）加快推动数据要素价值释放</w:t>
      </w:r>
    </w:p>
    <w:p w14:paraId="5A38C4F5">
      <w:pPr>
        <w:pStyle w:val="2"/>
        <w:spacing w:line="560" w:lineRule="exact"/>
        <w:ind w:firstLine="643"/>
        <w:rPr>
          <w:rFonts w:eastAsia="方正楷体_GBK"/>
          <w:spacing w:val="0"/>
          <w:kern w:val="0"/>
          <w:lang w:bidi="ar"/>
        </w:rPr>
      </w:pPr>
      <w:r>
        <w:rPr>
          <w:rFonts w:hint="eastAsia" w:eastAsia="方正仿宋_GBK"/>
          <w:b/>
          <w:bCs/>
          <w:spacing w:val="0"/>
          <w:kern w:val="0"/>
          <w:lang w:bidi="ar"/>
        </w:rPr>
        <w:t>1</w:t>
      </w:r>
      <w:r>
        <w:rPr>
          <w:rFonts w:eastAsia="方正仿宋_GBK"/>
          <w:b/>
          <w:bCs/>
          <w:spacing w:val="0"/>
          <w:kern w:val="0"/>
          <w:lang w:bidi="ar"/>
        </w:rPr>
        <w:t xml:space="preserve">. </w:t>
      </w:r>
      <w:r>
        <w:rPr>
          <w:rFonts w:hint="eastAsia" w:eastAsia="方正仿宋_GBK"/>
          <w:b/>
          <w:bCs/>
          <w:spacing w:val="0"/>
          <w:kern w:val="0"/>
          <w:lang w:bidi="ar"/>
        </w:rPr>
        <w:t>构建多元数据资源体系。</w:t>
      </w:r>
      <w:r>
        <w:rPr>
          <w:rFonts w:hint="eastAsia" w:eastAsia="方正仿宋_GBK"/>
          <w:spacing w:val="0"/>
          <w:kern w:val="0"/>
          <w:lang w:bidi="ar"/>
        </w:rPr>
        <w:t>开展公共数据攻坚行动，强化数据质量综合评估和闭环管理。有序推进公共数据授权运营，发布授权运营数据目录和数据产品目录两张清单，扩大运营开放数据覆盖面。探索企业数据确权授权和个人数据合规应用，支持有条件的企业开展数据资源登记。到2027年，构建全市一体化公共数据资源体系，建成淮安城市可信数据空间，高使用价值数据供给率、高时效数据满足率达98%以上。</w:t>
      </w:r>
      <w:r>
        <w:rPr>
          <w:rFonts w:hint="eastAsia" w:eastAsia="方正楷体_GBK"/>
          <w:spacing w:val="0"/>
          <w:kern w:val="0"/>
          <w:lang w:bidi="ar"/>
        </w:rPr>
        <w:t>（市数据局牵头，市委网信办、市发改委、市工信局、市公安局、市财政局、市国资委、市市监局，各县区、园区按职责分工负责。以下任务均需各县区、园区落实，不再列出）</w:t>
      </w:r>
    </w:p>
    <w:p w14:paraId="2CAE6CA9">
      <w:pPr>
        <w:spacing w:line="560" w:lineRule="exact"/>
        <w:ind w:firstLine="643" w:firstLineChars="200"/>
        <w:outlineLvl w:val="1"/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2. 推进数据要素市场建设。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推动数据场内交易，支持市数据集团与省数据交易所共建淮安区域专版，积极引导利用公共数据资源开发的产品服务、利用财政资金购买的社会数据资源进场交易。规范数据场外交易，鼓励行业龙头联动上下游企业探索利益分成、直接购买等多元流通模式。开展数据要素市场需求调查，定期发布数据需求清单，组织供需对接活动。到2027年，建成省数据交易所淮安区域专版，累计培育引进150家以上数据商和第三方服务机构，发布超300个数据产品和服务。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bidi="ar"/>
        </w:rPr>
        <w:t>（市数据局牵头，市委网信办、市发改委、市工信局、市公安局、市财政局、市国资委等按职责分工负责）</w:t>
      </w:r>
    </w:p>
    <w:p w14:paraId="3E92CD13">
      <w:pPr>
        <w:widowControl/>
        <w:spacing w:line="560" w:lineRule="exact"/>
        <w:ind w:firstLine="640" w:firstLineChars="200"/>
        <w:outlineLvl w:val="0"/>
        <w:rPr>
          <w:rFonts w:ascii="Times New Roman" w:hAnsi="Times New Roman" w:eastAsia="方正楷体_GBK" w:cs="Times New Roman"/>
          <w:kern w:val="32"/>
          <w:sz w:val="32"/>
          <w:szCs w:val="32"/>
        </w:rPr>
      </w:pPr>
      <w:r>
        <w:rPr>
          <w:rFonts w:ascii="Times New Roman" w:hAnsi="Times New Roman" w:eastAsia="方正楷体_GBK" w:cs="Times New Roman"/>
          <w:kern w:val="32"/>
          <w:sz w:val="32"/>
          <w:szCs w:val="32"/>
        </w:rPr>
        <w:t>（二）培育壮大数字产业特色集群</w:t>
      </w:r>
    </w:p>
    <w:p w14:paraId="20D21A83">
      <w:pPr>
        <w:spacing w:line="560" w:lineRule="exact"/>
        <w:ind w:firstLine="643" w:firstLineChars="200"/>
        <w:outlineLvl w:val="1"/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3. 加快打造千亿级电子信息产业集群。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聚焦PCB、新型显示、集成电路、电子元器件等重点产业链，坚持项目招引与企业培育并重，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打造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优势互补、协同发展的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产业生态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。持续推进PCB、电子元器件产业高质量发展，加快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布局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HDI板、高密度印刷电路板、新型电子元器件等高端产品。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大力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发展新型显示产业，推动LED、LCD、透明屏等多种产品生产企业落地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集聚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。聚焦集成电路生产、封测领域，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强化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芯片生产、先进封装等集成电路产业集群化发展，推动产业向芯片设计、半导体生产辅材等全产业链延伸。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到2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027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年，全市电子信息产业集群规模达1100亿元。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（市工信局牵头，市科技局、市商务局、市数据局等按职责分工负责）</w:t>
      </w:r>
    </w:p>
    <w:p w14:paraId="374FC771">
      <w:pPr>
        <w:spacing w:line="560" w:lineRule="exact"/>
        <w:ind w:firstLine="643" w:firstLineChars="200"/>
        <w:outlineLvl w:val="1"/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4. 培育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壮大</w:t>
      </w: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数据服务产业集群。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加快布局数据采集汇聚、存储计算、流通交易等数据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服务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产业链，全面提升数据加工处理、开发利用等本地化服务能力，支持淮安科教产业园、清江浦区数字经济产业园、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洪泽区科创商务中心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等平台载体，打</w:t>
      </w:r>
      <w:r>
        <w:rPr>
          <w:rFonts w:ascii="Times New Roman" w:hAnsi="Times New Roman" w:eastAsia="方正仿宋_GBK" w:cs="Times New Roman"/>
          <w:sz w:val="32"/>
          <w:szCs w:val="32"/>
        </w:rPr>
        <w:t>造面向长三角区域的数据服务基地。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加快构建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“数据集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+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标注平台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+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园区载体”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协同的数据标注产业体系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聚焦智慧交通、数字物流等优势领域，挖掘本地数据标注需求，打造高质量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行业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数据集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。到2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027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年，数据服务产业规模超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7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0亿元，打造2个具有竞争力的数据标注基地，建设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50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个高质量数据集。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（市数据局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bidi="ar"/>
        </w:rPr>
        <w:t>牵头，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市发改委、市工信局、市交通局、市商务局、市邮政管理局等按职责分工负责）</w:t>
      </w:r>
    </w:p>
    <w:p w14:paraId="0AA30834">
      <w:pPr>
        <w:spacing w:line="560" w:lineRule="exact"/>
        <w:ind w:firstLine="643" w:firstLineChars="200"/>
        <w:outlineLvl w:val="1"/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5. 打造数字物流枢纽产业集群。</w:t>
      </w:r>
      <w:bookmarkStart w:id="0" w:name="OLE_LINK2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培育特色电商产业带，壮大平台型、卖家型、服务型、物流型电商，加快建设集仓配、电商、制造一体的现代电商特色园区。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支持有条件的企业提升高标仓配和数字供应链服务能力，向提供一体化解决方案和供应链集成服务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等业务方向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延伸。培育壮大数字物流新业态，围绕制造业供应链、跨境贸易、农产品等领域，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引育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龙头物流企业，整合跨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区域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、跨行业物流数据，建设一批综合型、专业型物流信息平台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围绕冷链物流、网络货运、多式联运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、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共同配送等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重点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领域，培育一批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细分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领域数字物流服务企业。</w:t>
      </w:r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到2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027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年，实现电子商务网络零售额300亿元。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（市商务局、市交通局牵头，市发改委、市农业农村局、市数据局、市邮政管理局等按职责分工负责）</w:t>
      </w:r>
    </w:p>
    <w:p w14:paraId="2B7E77AD">
      <w:pPr>
        <w:widowControl/>
        <w:spacing w:line="560" w:lineRule="exact"/>
        <w:ind w:firstLine="640" w:firstLineChars="200"/>
        <w:outlineLvl w:val="0"/>
        <w:rPr>
          <w:rFonts w:ascii="Times New Roman" w:hAnsi="Times New Roman" w:eastAsia="方正楷体_GBK" w:cs="Times New Roman"/>
          <w:kern w:val="32"/>
          <w:sz w:val="32"/>
          <w:szCs w:val="32"/>
        </w:rPr>
      </w:pPr>
      <w:r>
        <w:rPr>
          <w:rFonts w:ascii="Times New Roman" w:hAnsi="Times New Roman" w:eastAsia="方正楷体_GBK" w:cs="Times New Roman"/>
          <w:kern w:val="32"/>
          <w:sz w:val="32"/>
          <w:szCs w:val="32"/>
        </w:rPr>
        <w:t>（三）推进实体经济与数字经济深度融合</w:t>
      </w:r>
    </w:p>
    <w:p w14:paraId="55648F96">
      <w:pPr>
        <w:spacing w:line="560" w:lineRule="exact"/>
        <w:ind w:firstLine="643" w:firstLineChars="200"/>
        <w:outlineLvl w:val="1"/>
        <w:rPr>
          <w:rFonts w:ascii="Times New Roman" w:hAnsi="Times New Roman" w:eastAsia="方正仿宋_GBK" w:cs="Times New Roman"/>
          <w:kern w:val="0"/>
          <w:sz w:val="32"/>
          <w:szCs w:val="32"/>
          <w:highlight w:val="yellow"/>
          <w:lang w:bidi="ar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6. 推动制造业数字化转型。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实施智能化改造推进、数字化转型应用、网络化联接提升和产业支撑聚能四大行动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，实现制造业企业智能化、数字化、网络化水平持续提升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推动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人工智能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赋能新型工业化，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升级工业网络基础设施，加快推进数智产业发展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。到2027年底，全市制造业智改数转网联能力明显增强，50%以上规上工业企业达到基础级及以上智能工厂水平，重点支持和培育先进级智能工厂100家以上，累计培育省级工业互联网平台30个，力争跨行业、跨领域“双跨”平台实现突破。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（市工信局牵头，市数据局等按职责分工负责）</w:t>
      </w:r>
    </w:p>
    <w:p w14:paraId="0551DF6D">
      <w:pPr>
        <w:spacing w:line="560" w:lineRule="exact"/>
        <w:ind w:firstLine="643" w:firstLineChars="200"/>
        <w:outlineLvl w:val="1"/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7. 夯实生态农业数字化发展优势。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聚焦优质稻米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、规模畜禽、小龙虾、螃蟹、绿色蔬菜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"/>
        </w:rPr>
        <w:t>等</w:t>
      </w: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特色产业，</w:t>
      </w:r>
      <w:r>
        <w:rPr>
          <w:rFonts w:ascii="Times New Roman" w:hAnsi="Times New Roman" w:eastAsia="方正仿宋_GBK" w:cs="Times New Roman"/>
          <w:sz w:val="32"/>
          <w:szCs w:val="32"/>
        </w:rPr>
        <w:t>全面提升农业全产业链数字化，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推进大田种植、设施栽培、畜牧养殖、渔业生产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等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智能化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升级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促进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数字技术与物流配送、仓储管理、电子商务、产品溯源深度融合。发</w:t>
      </w:r>
      <w:r>
        <w:rPr>
          <w:rFonts w:ascii="Times New Roman" w:hAnsi="Times New Roman" w:eastAsia="方正仿宋_GBK" w:cs="Times New Roman"/>
          <w:sz w:val="32"/>
          <w:szCs w:val="32"/>
        </w:rPr>
        <w:t>展农产品电商直采、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生鲜电商+冷链宅配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”“</w:t>
      </w:r>
      <w:r>
        <w:rPr>
          <w:rFonts w:ascii="Times New Roman" w:hAnsi="Times New Roman" w:eastAsia="方正仿宋_GBK" w:cs="Times New Roman"/>
          <w:sz w:val="32"/>
          <w:szCs w:val="32"/>
        </w:rPr>
        <w:t>直播电商+产地仓+寄递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等新模式。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（市农业农村局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bidi="ar"/>
        </w:rPr>
        <w:t>牵头，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市交通局、市商务局、市数据局、市邮政管理局等按职责分工负责）</w:t>
      </w:r>
    </w:p>
    <w:p w14:paraId="614DA0DA">
      <w:pPr>
        <w:spacing w:line="560" w:lineRule="exact"/>
        <w:ind w:firstLine="643" w:firstLineChars="200"/>
        <w:outlineLvl w:val="1"/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 xml:space="preserve">8. 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创新发展数字文化产业。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高水平建设“数字视听淮安集聚区”，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围绕动漫、游戏、交互设计等数字消费场景，发展网络剧、微电影、网络演出等新兴数字视听产业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实施数字文化产业链培育，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强化政策集成和资源支持。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充分发挥淮安红色文化、运河文化、西游文化、淮扬美食文化等特色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资源优势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打造更多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特色IP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和数字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文旅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产品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。支持里运河文化长廊、白马湖生态旅游景区、西游记文化体验园等景区打造3D景观、VR体验、游客互动等沉浸式文旅新场景。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到2027年，规上数字文化产业营收超520亿元，打造5个数字文旅消费标杆场景。（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市委宣传部、市文广旅游局牵头，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bidi="ar"/>
        </w:rPr>
        <w:t>市发改委、市工信局、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市商务局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bidi="ar"/>
        </w:rPr>
        <w:t>、市数据局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等按职责分工负责）</w:t>
      </w:r>
    </w:p>
    <w:p w14:paraId="439809AE">
      <w:pPr>
        <w:widowControl/>
        <w:spacing w:line="560" w:lineRule="exact"/>
        <w:ind w:firstLine="640" w:firstLineChars="200"/>
        <w:outlineLvl w:val="0"/>
        <w:rPr>
          <w:rFonts w:ascii="Times New Roman" w:hAnsi="Times New Roman" w:eastAsia="方正楷体_GBK" w:cs="Times New Roman"/>
          <w:kern w:val="32"/>
          <w:sz w:val="32"/>
          <w:szCs w:val="32"/>
        </w:rPr>
      </w:pPr>
      <w:r>
        <w:rPr>
          <w:rFonts w:ascii="Times New Roman" w:hAnsi="Times New Roman" w:eastAsia="方正楷体_GBK" w:cs="Times New Roman"/>
          <w:kern w:val="32"/>
          <w:sz w:val="32"/>
          <w:szCs w:val="32"/>
        </w:rPr>
        <w:t>（四）深化数字淮安场景建设</w:t>
      </w:r>
    </w:p>
    <w:p w14:paraId="3AB8216B">
      <w:pPr>
        <w:widowControl/>
        <w:spacing w:line="560" w:lineRule="exact"/>
        <w:ind w:firstLine="643" w:firstLineChars="200"/>
        <w:outlineLvl w:val="1"/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9. 强化数字淮安治理能力。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构建城市感知、时空、低空、模型等多维度数字底座，加快实景三维淮安建设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完善城市物联网平台、视频资源智能共享平台，升级推广通用组件，提升基础资源共享复用能力。迭代升级城市智能中枢，推动DeepSeek、通义千问等大模型智能体应用。整合交通、水利、生态、应急等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城市运行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数据资源，强化城市生命体征全周期监测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应用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，打造数据融合、智能决策的一体化现代治理体系。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（市数据局牵头，市资规局、市住建局、市城管局、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bidi="ar"/>
        </w:rPr>
        <w:t>市交通局、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市应急局等按职责分工负责）</w:t>
      </w:r>
    </w:p>
    <w:p w14:paraId="650A9E5A">
      <w:pPr>
        <w:widowControl/>
        <w:spacing w:line="560" w:lineRule="exact"/>
        <w:ind w:firstLine="643" w:firstLineChars="200"/>
        <w:outlineLvl w:val="1"/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10. 完善高品质数字生活供给体系。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依托“i淮安”公众门户打造淮安特色数字生活服务专区，深化“边说边办”政务服务场景，打造便捷、高效、智慧的政务服务“总客服”。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优化全市义务教育入学服务平台，实现一次登录、一键填报和全流程监管。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提升全市互联网医院运行效能，丰富公众健康平台功能，提供挂号、缴费、报告查询等一站式服务，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推进医保码在各级定点医疗机构多场景、全流程应用。建设淮安智慧养老服务平台，打造15分钟养老生活服务圈。构建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“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智慧人社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”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服务应用体系，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实现高品质、普惠化的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就业和社保服务。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（市教育局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bidi="ar"/>
        </w:rPr>
        <w:t>、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市民政局、市人社局、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bidi="ar"/>
        </w:rPr>
        <w:t>市卫健委、市数据局、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市医保局等按职责分工负责）</w:t>
      </w:r>
    </w:p>
    <w:p w14:paraId="6369D0D7">
      <w:pPr>
        <w:widowControl/>
        <w:spacing w:line="560" w:lineRule="exact"/>
        <w:ind w:firstLine="643" w:firstLineChars="200"/>
        <w:outlineLvl w:val="1"/>
        <w:rPr>
          <w:rFonts w:ascii="Times New Roman" w:hAnsi="Times New Roman" w:eastAsia="方正仿宋_GBK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11. 建立高价值融合场景管理机制。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建立</w:t>
      </w:r>
      <w:r>
        <w:rPr>
          <w:rFonts w:ascii="Times New Roman" w:hAnsi="Times New Roman" w:eastAsia="方正仿宋_GBK" w:cs="Times New Roman"/>
          <w:sz w:val="32"/>
          <w:szCs w:val="32"/>
        </w:rPr>
        <w:t>健全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场景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需求</w:t>
      </w:r>
      <w:r>
        <w:rPr>
          <w:rFonts w:ascii="Times New Roman" w:hAnsi="Times New Roman" w:eastAsia="方正仿宋_GBK" w:cs="Times New Roman"/>
          <w:sz w:val="32"/>
          <w:szCs w:val="32"/>
        </w:rPr>
        <w:t>—供需对接—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场景建设</w:t>
      </w:r>
      <w:r>
        <w:rPr>
          <w:rFonts w:ascii="Times New Roman" w:hAnsi="Times New Roman" w:eastAsia="方正仿宋_GBK" w:cs="Times New Roman"/>
          <w:sz w:val="32"/>
          <w:szCs w:val="32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案例</w:t>
      </w:r>
      <w:r>
        <w:rPr>
          <w:rFonts w:ascii="Times New Roman" w:hAnsi="Times New Roman" w:eastAsia="方正仿宋_GBK" w:cs="Times New Roman"/>
          <w:sz w:val="32"/>
          <w:szCs w:val="32"/>
        </w:rPr>
        <w:t>推广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工作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机制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鼓励企业、科研院所</w:t>
      </w:r>
      <w:r>
        <w:rPr>
          <w:rFonts w:ascii="Times New Roman" w:hAnsi="Times New Roman" w:eastAsia="方正仿宋_GBK" w:cs="Times New Roman"/>
          <w:sz w:val="32"/>
          <w:szCs w:val="32"/>
        </w:rPr>
        <w:t>建设若干验证场景，开展场景实测和市场验证，建立优秀案例和解决方案库，定期遴选发布典型场景清单。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bidi="ar"/>
        </w:rPr>
        <w:t>到2</w:t>
      </w:r>
      <w:r>
        <w:rPr>
          <w:rFonts w:ascii="Times New Roman" w:hAnsi="Times New Roman" w:eastAsia="方正仿宋_GBK" w:cs="Times New Roman"/>
          <w:color w:val="000000"/>
          <w:kern w:val="0"/>
          <w:sz w:val="31"/>
          <w:szCs w:val="31"/>
          <w:lang w:bidi="ar"/>
        </w:rPr>
        <w:t>027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bidi="ar"/>
        </w:rPr>
        <w:t>年，建设</w:t>
      </w:r>
      <w:r>
        <w:rPr>
          <w:rFonts w:ascii="Times New Roman" w:hAnsi="Times New Roman" w:eastAsia="方正仿宋_GBK" w:cs="Times New Roman"/>
          <w:color w:val="000000"/>
          <w:kern w:val="0"/>
          <w:sz w:val="31"/>
          <w:szCs w:val="31"/>
          <w:lang w:bidi="ar"/>
        </w:rPr>
        <w:t>50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bidi="ar"/>
        </w:rPr>
        <w:t>个以上示范性强、带动性广的典型应用场景。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（市数据局牵头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bidi="ar"/>
        </w:rPr>
        <w:t>，市科技局、市工信局、市国资委等按职责分工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负责）</w:t>
      </w:r>
    </w:p>
    <w:p w14:paraId="6D7DA264">
      <w:pPr>
        <w:widowControl/>
        <w:spacing w:line="560" w:lineRule="exact"/>
        <w:ind w:firstLine="640" w:firstLineChars="200"/>
        <w:outlineLvl w:val="0"/>
        <w:rPr>
          <w:rFonts w:ascii="Times New Roman" w:hAnsi="Times New Roman" w:eastAsia="方正楷体_GBK" w:cs="Times New Roman"/>
          <w:kern w:val="32"/>
          <w:sz w:val="32"/>
          <w:szCs w:val="32"/>
        </w:rPr>
      </w:pPr>
      <w:r>
        <w:rPr>
          <w:rFonts w:ascii="Times New Roman" w:hAnsi="Times New Roman" w:eastAsia="方正楷体_GBK" w:cs="Times New Roman"/>
          <w:kern w:val="32"/>
          <w:sz w:val="32"/>
          <w:szCs w:val="32"/>
        </w:rPr>
        <w:t>（五）壮大数字经济企业主体</w:t>
      </w:r>
    </w:p>
    <w:p w14:paraId="07CBD1D0">
      <w:pPr>
        <w:suppressAutoHyphens/>
        <w:spacing w:line="560" w:lineRule="exact"/>
        <w:ind w:firstLine="643" w:firstLineChars="200"/>
        <w:outlineLvl w:val="1"/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12. 引育数字经济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“</w:t>
      </w: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链主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”</w:t>
      </w: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企业。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积极招引创</w:t>
      </w:r>
      <w:r>
        <w:rPr>
          <w:rFonts w:ascii="Times New Roman" w:hAnsi="Times New Roman" w:eastAsia="方正仿宋_GBK" w:cs="Times New Roman"/>
          <w:bCs/>
          <w:kern w:val="32"/>
          <w:sz w:val="32"/>
          <w:szCs w:val="32"/>
        </w:rPr>
        <w:t>新能力强、市场</w:t>
      </w:r>
      <w:r>
        <w:rPr>
          <w:rFonts w:hint="eastAsia" w:ascii="Times New Roman" w:hAnsi="Times New Roman" w:eastAsia="方正仿宋_GBK" w:cs="Times New Roman"/>
          <w:bCs/>
          <w:kern w:val="32"/>
          <w:sz w:val="32"/>
          <w:szCs w:val="32"/>
        </w:rPr>
        <w:t>份额</w:t>
      </w:r>
      <w:r>
        <w:rPr>
          <w:rFonts w:ascii="Times New Roman" w:hAnsi="Times New Roman" w:eastAsia="方正仿宋_GBK" w:cs="Times New Roman"/>
          <w:bCs/>
          <w:kern w:val="32"/>
          <w:sz w:val="32"/>
          <w:szCs w:val="32"/>
        </w:rPr>
        <w:t>高、产业链</w:t>
      </w:r>
      <w:r>
        <w:rPr>
          <w:rFonts w:hint="eastAsia" w:ascii="Times New Roman" w:hAnsi="Times New Roman" w:eastAsia="方正仿宋_GBK" w:cs="Times New Roman"/>
          <w:bCs/>
          <w:kern w:val="32"/>
          <w:sz w:val="32"/>
          <w:szCs w:val="32"/>
        </w:rPr>
        <w:t>带动</w:t>
      </w:r>
      <w:r>
        <w:rPr>
          <w:rFonts w:ascii="Times New Roman" w:hAnsi="Times New Roman" w:eastAsia="方正仿宋_GBK" w:cs="Times New Roman"/>
          <w:bCs/>
          <w:spacing w:val="-4"/>
          <w:kern w:val="32"/>
          <w:sz w:val="32"/>
          <w:szCs w:val="32"/>
        </w:rPr>
        <w:t>作用</w:t>
      </w:r>
      <w:r>
        <w:rPr>
          <w:rFonts w:hint="eastAsia" w:ascii="Times New Roman" w:hAnsi="Times New Roman" w:eastAsia="方正仿宋_GBK" w:cs="Times New Roman"/>
          <w:bCs/>
          <w:spacing w:val="-4"/>
          <w:kern w:val="32"/>
          <w:sz w:val="32"/>
          <w:szCs w:val="32"/>
        </w:rPr>
        <w:t>突出</w:t>
      </w:r>
      <w:r>
        <w:rPr>
          <w:rFonts w:ascii="Times New Roman" w:hAnsi="Times New Roman" w:eastAsia="方正仿宋_GBK" w:cs="Times New Roman"/>
          <w:bCs/>
          <w:spacing w:val="-4"/>
          <w:kern w:val="32"/>
          <w:sz w:val="32"/>
          <w:szCs w:val="32"/>
        </w:rPr>
        <w:t>的头部企业或链主企业。</w:t>
      </w:r>
      <w:r>
        <w:rPr>
          <w:rFonts w:ascii="Times New Roman" w:hAnsi="Times New Roman" w:eastAsia="方正仿宋_GBK" w:cs="Times New Roman"/>
          <w:sz w:val="32"/>
          <w:szCs w:val="32"/>
        </w:rPr>
        <w:t>推动本地</w:t>
      </w:r>
      <w:r>
        <w:rPr>
          <w:rFonts w:ascii="Times New Roman" w:hAnsi="Times New Roman" w:eastAsia="方正仿宋_GBK" w:cs="Times New Roman"/>
          <w:bCs/>
          <w:kern w:val="32"/>
          <w:sz w:val="32"/>
          <w:szCs w:val="32"/>
        </w:rPr>
        <w:t>龙头企业向</w:t>
      </w:r>
      <w:r>
        <w:rPr>
          <w:rFonts w:ascii="Times New Roman" w:hAnsi="Times New Roman" w:eastAsia="方正仿宋_GBK" w:cs="Times New Roman"/>
          <w:sz w:val="32"/>
          <w:szCs w:val="32"/>
        </w:rPr>
        <w:t>研发、生产、营销一体的区域基地升级，构建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制造基地+研发中心、销售中心、上市主体、供应商集群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1+4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发展格局。紧抓各类央企总部布局人工智能、大数据等新业务趋势，积极争取央企在淮设立数据公司、人工智能公司区域性总部、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研发中心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等。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（市工信局、市数据局牵头，市科技局、市商务局、市国资委等按职责分工负责）</w:t>
      </w:r>
    </w:p>
    <w:p w14:paraId="313CD93A">
      <w:pPr>
        <w:suppressAutoHyphens/>
        <w:spacing w:line="560" w:lineRule="exact"/>
        <w:ind w:firstLine="643" w:firstLineChars="200"/>
        <w:outlineLvl w:val="1"/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13. 培育高成长型中小企业。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聚焦高端印制电路</w:t>
      </w:r>
      <w:r>
        <w:rPr>
          <w:rFonts w:ascii="Times New Roman" w:hAnsi="Times New Roman" w:eastAsia="方正仿宋_GBK" w:cs="Times New Roman"/>
          <w:sz w:val="32"/>
          <w:szCs w:val="32"/>
        </w:rPr>
        <w:t>板、精密电子制造、新型显示、汽车电子、智能终端等领域，培育一批专注细分市场、创新能力强、质量效益优的专精特新企业。引导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扎根</w:t>
      </w:r>
      <w:r>
        <w:rPr>
          <w:rFonts w:ascii="Times New Roman" w:hAnsi="Times New Roman" w:eastAsia="方正仿宋_GBK" w:cs="Times New Roman"/>
          <w:sz w:val="32"/>
          <w:szCs w:val="32"/>
        </w:rPr>
        <w:t>淮安的数字化转型服务商，聚焦工业软件、行业数据产品、数字化转型集成方案等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领域开展研发创新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打造</w:t>
      </w:r>
      <w:r>
        <w:rPr>
          <w:rFonts w:ascii="Times New Roman" w:hAnsi="Times New Roman" w:eastAsia="方正仿宋_GBK" w:cs="Times New Roman"/>
          <w:sz w:val="32"/>
          <w:szCs w:val="32"/>
        </w:rPr>
        <w:t>具有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细分</w:t>
      </w:r>
      <w:r>
        <w:rPr>
          <w:rFonts w:ascii="Times New Roman" w:hAnsi="Times New Roman" w:eastAsia="方正仿宋_GBK" w:cs="Times New Roman"/>
          <w:sz w:val="32"/>
          <w:szCs w:val="32"/>
        </w:rPr>
        <w:t>行业特色的专业化竞争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优势</w:t>
      </w:r>
      <w:r>
        <w:rPr>
          <w:rFonts w:ascii="Times New Roman" w:hAnsi="Times New Roman" w:eastAsia="方正仿宋_GBK" w:cs="Times New Roman"/>
          <w:sz w:val="32"/>
          <w:szCs w:val="32"/>
        </w:rPr>
        <w:t>。聚焦电商物流、数字视听等领域，培育一批具有核心数据产品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sz w:val="32"/>
          <w:szCs w:val="32"/>
        </w:rPr>
        <w:t>服务的高成长性企业。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到2027年，全市数字经济领域专精特新企业超50家。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（市工信局、市数据局牵头，市委宣传部、市发改委、市商务局等按职责分工负责）</w:t>
      </w:r>
    </w:p>
    <w:p w14:paraId="0666568C">
      <w:pPr>
        <w:suppressAutoHyphens/>
        <w:spacing w:line="560" w:lineRule="exact"/>
        <w:ind w:firstLine="643" w:firstLineChars="200"/>
        <w:outlineLvl w:val="1"/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14. 大力发展数据企业。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开展数据企业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“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增、转、引、育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”行动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，推动国资国企、行业龙头等新设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数据企业</w:t>
      </w:r>
      <w:r>
        <w:rPr>
          <w:rFonts w:ascii="Times New Roman" w:hAnsi="Times New Roman" w:eastAsia="方正仿宋_GBK" w:cs="Times New Roman"/>
          <w:sz w:val="32"/>
          <w:szCs w:val="32"/>
        </w:rPr>
        <w:t>，引导传统企业拓展数据业务，招引国内外知名数据企业，形成各类数据企业融通发展的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良好</w:t>
      </w:r>
      <w:r>
        <w:rPr>
          <w:rFonts w:ascii="Times New Roman" w:hAnsi="Times New Roman" w:eastAsia="方正仿宋_GBK" w:cs="Times New Roman"/>
          <w:sz w:val="32"/>
          <w:szCs w:val="32"/>
        </w:rPr>
        <w:t>生态。开展数据企业评估认定，建立健全数据企业梯次培育体系，支持数据企业做好高新技术企业、瞪羚企业、独角兽企业等培育申报工作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。到2027年，认定培育100家省级数据企业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（市数据局、市工信局牵头，市发改委、市科技局、市国资委等按职责分工负责）</w:t>
      </w:r>
    </w:p>
    <w:p w14:paraId="1F12EF7C">
      <w:pPr>
        <w:widowControl/>
        <w:spacing w:line="560" w:lineRule="exact"/>
        <w:ind w:firstLine="640" w:firstLineChars="200"/>
        <w:outlineLvl w:val="0"/>
        <w:rPr>
          <w:rFonts w:ascii="Times New Roman" w:hAnsi="Times New Roman" w:eastAsia="方正楷体_GBK" w:cs="Times New Roman"/>
          <w:kern w:val="32"/>
          <w:sz w:val="32"/>
          <w:szCs w:val="32"/>
        </w:rPr>
      </w:pPr>
      <w:r>
        <w:rPr>
          <w:rFonts w:ascii="Times New Roman" w:hAnsi="Times New Roman" w:eastAsia="方正楷体_GBK" w:cs="Times New Roman"/>
          <w:kern w:val="32"/>
          <w:sz w:val="32"/>
          <w:szCs w:val="32"/>
        </w:rPr>
        <w:t>（六）推动数字经济全域协同</w:t>
      </w:r>
    </w:p>
    <w:p w14:paraId="346135E3">
      <w:pPr>
        <w:suppressAutoHyphens/>
        <w:spacing w:line="560" w:lineRule="exact"/>
        <w:ind w:firstLine="643" w:firstLineChars="200"/>
        <w:outlineLvl w:val="1"/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15. 构建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“</w:t>
      </w: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一核多极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”</w:t>
      </w: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数字经济发展格局。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发挥淮安经开区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“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创新之核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”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优势，加快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数据服务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人工智能、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算力等产业发展集聚，全面提升数字经济创新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能级和辐射能力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。按照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“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一区一特色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”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，以清江浦区、涟水县为重点打造新一代信息技术产业高地；支持淮安区发展电商物流集群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支持金湖县打造智能制造装备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产业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集群，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支持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洪泽区创建互联网信息服务业产业基地，支持盱眙县重点发展智能机器人产业等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鼓励各地</w:t>
      </w:r>
      <w:r>
        <w:rPr>
          <w:rFonts w:ascii="Times New Roman" w:hAnsi="Times New Roman" w:eastAsia="方正仿宋_GBK" w:cs="Times New Roman"/>
          <w:snapToGrid w:val="0"/>
          <w:color w:val="000000" w:themeColor="text1"/>
          <w:spacing w:val="-4"/>
          <w:kern w:val="0"/>
          <w:sz w:val="32"/>
          <w:szCs w:val="32"/>
          <w14:textFill>
            <w14:solidFill>
              <w14:schemeClr w14:val="tx1"/>
            </w14:solidFill>
          </w14:textFill>
        </w:rPr>
        <w:t>因地制宜发展数字经济核心产业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。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（市数据局牵头，市发改委、市工信局、市商务局等按职责分工负责）</w:t>
      </w:r>
    </w:p>
    <w:p w14:paraId="4DE2F9CE">
      <w:pPr>
        <w:suppressAutoHyphens/>
        <w:spacing w:line="560" w:lineRule="exact"/>
        <w:ind w:firstLine="643" w:firstLineChars="200"/>
        <w:outlineLvl w:val="1"/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16. 强化区域开放合作发展。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开展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长三角、珠三角等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区域招商推介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活动，加强与北京、上海、深圳、杭州等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地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产业对接合作，搭建重大项目对接平台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。强化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与省内重点园区合作交流。支持企业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主导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和参与区域产业协同创新网络，在标准制定、产业链对接、重大活动开展等方面深化合作。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（市发改委牵头，市科技局、市工信局、市商务局、市数据局等按职责分工负责）</w:t>
      </w:r>
    </w:p>
    <w:p w14:paraId="78013067">
      <w:pPr>
        <w:widowControl/>
        <w:spacing w:line="560" w:lineRule="exact"/>
        <w:ind w:firstLine="640" w:firstLineChars="200"/>
        <w:outlineLvl w:val="0"/>
        <w:rPr>
          <w:rFonts w:ascii="Times New Roman" w:hAnsi="Times New Roman" w:eastAsia="方正楷体_GBK" w:cs="Times New Roman"/>
          <w:kern w:val="32"/>
          <w:sz w:val="32"/>
          <w:szCs w:val="32"/>
        </w:rPr>
      </w:pPr>
      <w:r>
        <w:rPr>
          <w:rFonts w:ascii="Times New Roman" w:hAnsi="Times New Roman" w:eastAsia="方正楷体_GBK" w:cs="Times New Roman"/>
          <w:kern w:val="32"/>
          <w:sz w:val="32"/>
          <w:szCs w:val="32"/>
        </w:rPr>
        <w:t>（七）强化数字经济发展关键要素供给</w:t>
      </w:r>
    </w:p>
    <w:p w14:paraId="60AAE2B1">
      <w:pPr>
        <w:widowControl/>
        <w:spacing w:line="560" w:lineRule="exact"/>
        <w:ind w:firstLine="643" w:firstLineChars="200"/>
        <w:outlineLvl w:val="1"/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17. 促进数字经济产才深度融合。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持续实施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“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淮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上英才计划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”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以重点企业和特色园区为引才主体，编制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数字经济领域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紧缺人才目录，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吸引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高层次领军人才和团队来淮创新创业。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强化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本地数字人才培育，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引导在淮高校加强数字经济学科建设，鼓励校企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共建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实训基地。开展数据标注、电子商务、人工智能等从业人员培训，组织数据标注师、直播销售员等新职业技能认证。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推进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数字经济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领域专业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职称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评定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工作。</w:t>
      </w:r>
      <w:bookmarkStart w:id="1" w:name="_Hlk201759446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到2027年，累计引进培育数字经济领域高层次创新创业人才超200人。</w:t>
      </w:r>
      <w:bookmarkEnd w:id="1"/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（市科技局、市教育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bidi="ar"/>
        </w:rPr>
        <w:t>局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、市人社局、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bidi="ar"/>
        </w:rPr>
        <w:t>市工信局、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市数据局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bidi="ar"/>
        </w:rPr>
        <w:t>、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市委人才办等按职责分工负责）</w:t>
      </w:r>
    </w:p>
    <w:p w14:paraId="16C78322">
      <w:pPr>
        <w:widowControl/>
        <w:spacing w:line="560" w:lineRule="exact"/>
        <w:ind w:firstLine="643" w:firstLineChars="200"/>
        <w:outlineLvl w:val="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18. 加强金融赋能数字经济发展。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bidi="ar"/>
        </w:rPr>
        <w:t>鼓励金融机</w:t>
      </w:r>
      <w:r>
        <w:rPr>
          <w:rFonts w:ascii="Times New Roman" w:hAnsi="Times New Roman" w:eastAsia="方正仿宋_GBK" w:cs="Times New Roman"/>
          <w:sz w:val="32"/>
          <w:szCs w:val="32"/>
        </w:rPr>
        <w:t>构创新数字经济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领域</w:t>
      </w:r>
      <w:r>
        <w:rPr>
          <w:rFonts w:ascii="Times New Roman" w:hAnsi="Times New Roman" w:eastAsia="方正仿宋_GBK" w:cs="Times New Roman"/>
          <w:sz w:val="32"/>
          <w:szCs w:val="32"/>
        </w:rPr>
        <w:t>金融产品服务，加大信贷投放和保险风险保障支持。争取省战略性新兴产业母基金支持，大力引入天使投资、风险投资、创业投资、私募基金等优质社会资本，构建数字经济发展基金体系。推动数字经济企业纳入上市后备苗圃企业库，引导符合条件的数字经济龙头企业上市。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（市政府办、市发改委、市财政局、市人行、淮安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bidi="ar"/>
        </w:rPr>
        <w:t>金融</w:t>
      </w:r>
      <w:r>
        <w:rPr>
          <w:rFonts w:ascii="Times New Roman" w:hAnsi="Times New Roman" w:eastAsia="方正楷体_GBK" w:cs="Times New Roman"/>
          <w:kern w:val="0"/>
          <w:sz w:val="32"/>
          <w:szCs w:val="32"/>
          <w:lang w:bidi="ar"/>
        </w:rPr>
        <w:t>监管分局等按职责分工负责）</w:t>
      </w:r>
    </w:p>
    <w:p w14:paraId="2710228E">
      <w:pPr>
        <w:widowControl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  <w:t>三、保障措施</w:t>
      </w:r>
    </w:p>
    <w:p w14:paraId="23356636">
      <w:pPr>
        <w:pStyle w:val="2"/>
        <w:spacing w:line="560" w:lineRule="exact"/>
        <w:ind w:firstLine="640"/>
        <w:rPr>
          <w:rFonts w:eastAsia="方正仿宋_GBK"/>
        </w:rPr>
      </w:pPr>
      <w:r>
        <w:rPr>
          <w:rFonts w:hint="eastAsia" w:eastAsia="方正仿宋_GBK"/>
          <w:spacing w:val="0"/>
        </w:rPr>
        <w:t>加强对全市数字经济发展工作的组织领导、综合协调和政策保障，市数据局会同市有关部门统筹协调全市数字经济，制定</w:t>
      </w:r>
      <w:r>
        <w:rPr>
          <w:rFonts w:eastAsia="方正仿宋_GBK"/>
          <w:spacing w:val="0"/>
        </w:rPr>
        <w:t>年度清单推进重点任务落实。完善数字经济统计监测、综合评价体系，建立数字经济重点企业培育库，对入库企业实行动态管理。</w:t>
      </w:r>
      <w:r>
        <w:rPr>
          <w:rFonts w:eastAsia="方正仿宋_GBK"/>
        </w:rPr>
        <w:t>完善数据安全监测预警和应急处置等工作体系，</w:t>
      </w:r>
      <w:r>
        <w:rPr>
          <w:rFonts w:eastAsia="方正仿宋_GBK"/>
          <w:spacing w:val="0"/>
        </w:rPr>
        <w:t>建立多部门监管协作机制。</w:t>
      </w:r>
      <w:r>
        <w:rPr>
          <w:rFonts w:hint="eastAsia" w:eastAsia="方正仿宋_GBK"/>
          <w:spacing w:val="0"/>
        </w:rPr>
        <w:t>强化智能算力和数据要素供给能力，积极探索“算力券”“数据券”等支持政策。</w:t>
      </w:r>
      <w:r>
        <w:rPr>
          <w:rFonts w:eastAsia="方正仿宋_GBK"/>
        </w:rPr>
        <w:t>办好</w:t>
      </w:r>
      <w:r>
        <w:rPr>
          <w:rFonts w:hint="eastAsia" w:eastAsia="方正仿宋_GBK"/>
        </w:rPr>
        <w:t>“</w:t>
      </w:r>
      <w:r>
        <w:rPr>
          <w:rFonts w:eastAsia="方正仿宋_GBK"/>
        </w:rPr>
        <w:t>数据要素</w:t>
      </w:r>
      <w:r>
        <w:rPr>
          <w:rFonts w:eastAsia="方正仿宋_GBK"/>
        </w:rPr>
        <w:sym w:font="Wingdings 2" w:char="F0CD"/>
      </w:r>
      <w:r>
        <w:rPr>
          <w:rFonts w:hint="eastAsia" w:eastAsia="方正仿宋_GBK"/>
        </w:rPr>
        <w:t>”</w:t>
      </w:r>
      <w:r>
        <w:rPr>
          <w:rFonts w:eastAsia="方正仿宋_GBK"/>
        </w:rPr>
        <w:t>大赛等数字经济重大活动，征集推广典型案例，加大对成效突出的地区、部门、企业、场景等宣传力度。</w:t>
      </w:r>
    </w:p>
    <w:p w14:paraId="60C97A5C">
      <w:pPr>
        <w:pStyle w:val="2"/>
        <w:spacing w:line="560" w:lineRule="exact"/>
        <w:ind w:firstLine="616"/>
        <w:rPr>
          <w:rFonts w:eastAsia="方正仿宋_GBK"/>
        </w:rPr>
      </w:pPr>
    </w:p>
    <w:p w14:paraId="2E0D3C6C">
      <w:pPr>
        <w:pStyle w:val="2"/>
        <w:spacing w:line="560" w:lineRule="exact"/>
        <w:ind w:firstLine="616"/>
        <w:rPr>
          <w:rFonts w:eastAsia="方正仿宋_GBK"/>
        </w:rPr>
      </w:pPr>
      <w:r>
        <w:rPr>
          <w:rFonts w:hint="eastAsia" w:eastAsia="方正仿宋_GBK"/>
        </w:rPr>
        <w:t>附件：数字经济发展主要预期指标</w:t>
      </w:r>
    </w:p>
    <w:p w14:paraId="35E6F1E5">
      <w:pPr>
        <w:pStyle w:val="2"/>
        <w:spacing w:line="560" w:lineRule="exact"/>
        <w:ind w:firstLine="616"/>
        <w:rPr>
          <w:rFonts w:eastAsia="方正仿宋_GBK"/>
        </w:rPr>
      </w:pPr>
    </w:p>
    <w:p w14:paraId="34CA0A92">
      <w:pPr>
        <w:pStyle w:val="2"/>
        <w:ind w:firstLine="0" w:firstLineChars="0"/>
      </w:pPr>
      <w:r>
        <w:br w:type="page"/>
      </w:r>
    </w:p>
    <w:p w14:paraId="1670DD38">
      <w:pPr>
        <w:pStyle w:val="2"/>
        <w:spacing w:line="560" w:lineRule="exact"/>
        <w:ind w:firstLine="0" w:firstLineChars="0"/>
        <w:rPr>
          <w:rFonts w:eastAsia="黑体"/>
        </w:rPr>
      </w:pPr>
      <w:r>
        <w:rPr>
          <w:rFonts w:eastAsia="黑体"/>
        </w:rPr>
        <w:t>附件</w:t>
      </w:r>
    </w:p>
    <w:p w14:paraId="0E1C7111">
      <w:pPr>
        <w:pStyle w:val="2"/>
        <w:spacing w:after="156" w:afterLines="50" w:line="640" w:lineRule="exact"/>
        <w:ind w:firstLine="0" w:firstLineChars="0"/>
        <w:jc w:val="center"/>
        <w:rPr>
          <w:rFonts w:eastAsia="方正小标宋_GBK"/>
          <w:spacing w:val="0"/>
          <w:sz w:val="44"/>
          <w:szCs w:val="44"/>
          <w:lang w:bidi="ar"/>
        </w:rPr>
      </w:pPr>
      <w:bookmarkStart w:id="2" w:name="_Hlk203395593"/>
      <w:r>
        <w:rPr>
          <w:rFonts w:hint="eastAsia" w:eastAsia="方正小标宋_GBK"/>
          <w:spacing w:val="0"/>
          <w:sz w:val="44"/>
          <w:szCs w:val="44"/>
          <w:lang w:bidi="ar"/>
        </w:rPr>
        <w:t>数字经济发展主要预期指标</w:t>
      </w:r>
    </w:p>
    <w:tbl>
      <w:tblPr>
        <w:tblStyle w:val="9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811"/>
        <w:gridCol w:w="1276"/>
        <w:gridCol w:w="1276"/>
        <w:gridCol w:w="1984"/>
      </w:tblGrid>
      <w:tr w14:paraId="366D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1B5F935F">
            <w:pPr>
              <w:spacing w:line="400" w:lineRule="exact"/>
              <w:jc w:val="center"/>
              <w:outlineLvl w:val="1"/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811" w:type="dxa"/>
            <w:vAlign w:val="center"/>
          </w:tcPr>
          <w:p w14:paraId="3CA57688">
            <w:pPr>
              <w:spacing w:line="400" w:lineRule="exact"/>
              <w:jc w:val="center"/>
              <w:outlineLvl w:val="1"/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指标名称</w:t>
            </w:r>
          </w:p>
        </w:tc>
        <w:tc>
          <w:tcPr>
            <w:tcW w:w="1276" w:type="dxa"/>
            <w:vAlign w:val="center"/>
          </w:tcPr>
          <w:p w14:paraId="24C5B544">
            <w:pPr>
              <w:spacing w:line="400" w:lineRule="exact"/>
              <w:jc w:val="center"/>
              <w:outlineLvl w:val="1"/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当前指标情况</w:t>
            </w:r>
          </w:p>
        </w:tc>
        <w:tc>
          <w:tcPr>
            <w:tcW w:w="1276" w:type="dxa"/>
            <w:vAlign w:val="center"/>
          </w:tcPr>
          <w:p w14:paraId="562CE2E0">
            <w:pPr>
              <w:spacing w:line="400" w:lineRule="exact"/>
              <w:jc w:val="center"/>
              <w:outlineLvl w:val="1"/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2027年目标</w:t>
            </w:r>
          </w:p>
        </w:tc>
        <w:tc>
          <w:tcPr>
            <w:tcW w:w="1984" w:type="dxa"/>
          </w:tcPr>
          <w:p w14:paraId="3C467B55">
            <w:pPr>
              <w:spacing w:line="400" w:lineRule="exact"/>
              <w:jc w:val="center"/>
              <w:outlineLvl w:val="1"/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指标部门</w:t>
            </w:r>
          </w:p>
        </w:tc>
      </w:tr>
      <w:tr w14:paraId="2537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2C647BE8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24C99">
            <w:pPr>
              <w:spacing w:line="360" w:lineRule="exact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数字经济核心产业增加值占GDP比重（%）</w:t>
            </w:r>
          </w:p>
        </w:tc>
        <w:tc>
          <w:tcPr>
            <w:tcW w:w="1276" w:type="dxa"/>
            <w:vAlign w:val="center"/>
          </w:tcPr>
          <w:p w14:paraId="3DC75CF5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.6</w:t>
            </w:r>
          </w:p>
        </w:tc>
        <w:tc>
          <w:tcPr>
            <w:tcW w:w="1276" w:type="dxa"/>
            <w:vAlign w:val="center"/>
          </w:tcPr>
          <w:p w14:paraId="4C3E3A5F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.2</w:t>
            </w:r>
          </w:p>
        </w:tc>
        <w:tc>
          <w:tcPr>
            <w:tcW w:w="1984" w:type="dxa"/>
            <w:vAlign w:val="center"/>
          </w:tcPr>
          <w:p w14:paraId="60A3F81A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市数据局</w:t>
            </w:r>
          </w:p>
        </w:tc>
      </w:tr>
      <w:tr w14:paraId="26AF7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D9FC3C9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6DA6D">
            <w:pPr>
              <w:spacing w:line="360" w:lineRule="exact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电子信息制造业营业收入（亿元）</w:t>
            </w:r>
          </w:p>
        </w:tc>
        <w:tc>
          <w:tcPr>
            <w:tcW w:w="1276" w:type="dxa"/>
            <w:vAlign w:val="center"/>
          </w:tcPr>
          <w:p w14:paraId="736BEFD1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36.2</w:t>
            </w:r>
          </w:p>
        </w:tc>
        <w:tc>
          <w:tcPr>
            <w:tcW w:w="1276" w:type="dxa"/>
            <w:vAlign w:val="center"/>
          </w:tcPr>
          <w:p w14:paraId="0DFC89B2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984" w:type="dxa"/>
            <w:vAlign w:val="center"/>
          </w:tcPr>
          <w:p w14:paraId="543906A0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市工信局</w:t>
            </w:r>
          </w:p>
        </w:tc>
      </w:tr>
      <w:tr w14:paraId="16C46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1E65C9C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BAF47">
            <w:pPr>
              <w:spacing w:line="360" w:lineRule="exact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电子商务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网络零售额（亿元）</w:t>
            </w:r>
          </w:p>
        </w:tc>
        <w:tc>
          <w:tcPr>
            <w:tcW w:w="1276" w:type="dxa"/>
            <w:vAlign w:val="center"/>
          </w:tcPr>
          <w:p w14:paraId="2BF6F26D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1276" w:type="dxa"/>
            <w:vAlign w:val="center"/>
          </w:tcPr>
          <w:p w14:paraId="3F5F053B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1984" w:type="dxa"/>
            <w:vAlign w:val="center"/>
          </w:tcPr>
          <w:p w14:paraId="233ABC51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市商务局</w:t>
            </w:r>
          </w:p>
        </w:tc>
      </w:tr>
      <w:tr w14:paraId="5D21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60D24FE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10DC6">
            <w:pPr>
              <w:spacing w:line="360" w:lineRule="exact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数据服务产业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规模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亿元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3D8A352E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276" w:type="dxa"/>
            <w:vAlign w:val="center"/>
          </w:tcPr>
          <w:p w14:paraId="7A26EDCA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984" w:type="dxa"/>
            <w:vAlign w:val="center"/>
          </w:tcPr>
          <w:p w14:paraId="427D548B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市数据局</w:t>
            </w:r>
          </w:p>
        </w:tc>
      </w:tr>
      <w:tr w14:paraId="4ABB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7877BE3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862D1">
            <w:pPr>
              <w:spacing w:line="360" w:lineRule="exact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数字文化产业规模（亿元）</w:t>
            </w:r>
          </w:p>
        </w:tc>
        <w:tc>
          <w:tcPr>
            <w:tcW w:w="1276" w:type="dxa"/>
            <w:vAlign w:val="center"/>
          </w:tcPr>
          <w:p w14:paraId="2CF7D298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9</w:t>
            </w:r>
            <w:bookmarkStart w:id="3" w:name="_GoBack"/>
            <w:bookmarkEnd w:id="3"/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vAlign w:val="center"/>
          </w:tcPr>
          <w:p w14:paraId="4E67DF25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52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84" w:type="dxa"/>
            <w:vAlign w:val="center"/>
          </w:tcPr>
          <w:p w14:paraId="6FB44920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市委宣传部、市文广旅游局</w:t>
            </w:r>
          </w:p>
        </w:tc>
      </w:tr>
      <w:tr w14:paraId="408A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049762C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734C7">
            <w:pPr>
              <w:spacing w:line="360" w:lineRule="exact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规上工业企业基础级及以上智能工厂覆盖率（%）</w:t>
            </w:r>
          </w:p>
        </w:tc>
        <w:tc>
          <w:tcPr>
            <w:tcW w:w="1276" w:type="dxa"/>
            <w:vAlign w:val="center"/>
          </w:tcPr>
          <w:p w14:paraId="4FC07203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.1</w:t>
            </w:r>
          </w:p>
        </w:tc>
        <w:tc>
          <w:tcPr>
            <w:tcW w:w="1276" w:type="dxa"/>
            <w:vAlign w:val="center"/>
          </w:tcPr>
          <w:p w14:paraId="24E2BC67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984" w:type="dxa"/>
            <w:vAlign w:val="center"/>
          </w:tcPr>
          <w:p w14:paraId="296270B2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市工信局</w:t>
            </w:r>
          </w:p>
        </w:tc>
      </w:tr>
      <w:tr w14:paraId="59C9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1C8B132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26EE9">
            <w:pPr>
              <w:spacing w:line="360" w:lineRule="exact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先进级智能工厂数量（家）</w:t>
            </w:r>
          </w:p>
        </w:tc>
        <w:tc>
          <w:tcPr>
            <w:tcW w:w="1276" w:type="dxa"/>
            <w:vAlign w:val="center"/>
          </w:tcPr>
          <w:p w14:paraId="0EA5866A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03</w:t>
            </w:r>
          </w:p>
        </w:tc>
        <w:tc>
          <w:tcPr>
            <w:tcW w:w="1276" w:type="dxa"/>
            <w:vAlign w:val="center"/>
          </w:tcPr>
          <w:p w14:paraId="7F224997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616E268B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市工信局</w:t>
            </w:r>
          </w:p>
        </w:tc>
      </w:tr>
      <w:tr w14:paraId="0C58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CD8E12E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37ABA">
            <w:pPr>
              <w:spacing w:line="360" w:lineRule="exact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省级数据企业认定培育数（家）</w:t>
            </w:r>
          </w:p>
        </w:tc>
        <w:tc>
          <w:tcPr>
            <w:tcW w:w="1276" w:type="dxa"/>
            <w:vAlign w:val="center"/>
          </w:tcPr>
          <w:p w14:paraId="32C80351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276" w:type="dxa"/>
            <w:vAlign w:val="center"/>
          </w:tcPr>
          <w:p w14:paraId="3E341AC9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1984" w:type="dxa"/>
            <w:vAlign w:val="center"/>
          </w:tcPr>
          <w:p w14:paraId="6FF45B1F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市数据局</w:t>
            </w:r>
          </w:p>
        </w:tc>
      </w:tr>
      <w:tr w14:paraId="7FC7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C8ADD57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A2879">
            <w:pPr>
              <w:spacing w:line="360" w:lineRule="exact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省级工业互联网平台数（个）</w:t>
            </w:r>
          </w:p>
        </w:tc>
        <w:tc>
          <w:tcPr>
            <w:tcW w:w="1276" w:type="dxa"/>
            <w:vAlign w:val="center"/>
          </w:tcPr>
          <w:p w14:paraId="5BCF89F0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76" w:type="dxa"/>
            <w:vAlign w:val="center"/>
          </w:tcPr>
          <w:p w14:paraId="43EBB02D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984" w:type="dxa"/>
            <w:vAlign w:val="center"/>
          </w:tcPr>
          <w:p w14:paraId="43D28F15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市工信局</w:t>
            </w:r>
          </w:p>
        </w:tc>
      </w:tr>
      <w:tr w14:paraId="1FAA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3FD33A3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2CF55">
            <w:pPr>
              <w:spacing w:line="360" w:lineRule="exact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公共数据授权运营示范场景数（个）</w:t>
            </w:r>
          </w:p>
        </w:tc>
        <w:tc>
          <w:tcPr>
            <w:tcW w:w="1276" w:type="dxa"/>
            <w:vAlign w:val="center"/>
          </w:tcPr>
          <w:p w14:paraId="2C183908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76" w:type="dxa"/>
            <w:vAlign w:val="center"/>
          </w:tcPr>
          <w:p w14:paraId="4F418578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984" w:type="dxa"/>
            <w:vAlign w:val="center"/>
          </w:tcPr>
          <w:p w14:paraId="3AF1623F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市数据局</w:t>
            </w:r>
          </w:p>
        </w:tc>
      </w:tr>
      <w:tr w14:paraId="4FFC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55E39E1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4547A">
            <w:pPr>
              <w:spacing w:line="360" w:lineRule="exact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高质量数据集数量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（个）</w:t>
            </w:r>
          </w:p>
        </w:tc>
        <w:tc>
          <w:tcPr>
            <w:tcW w:w="1276" w:type="dxa"/>
            <w:vAlign w:val="center"/>
          </w:tcPr>
          <w:p w14:paraId="0CEEF085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vAlign w:val="center"/>
          </w:tcPr>
          <w:p w14:paraId="3FF37E3E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984" w:type="dxa"/>
            <w:vAlign w:val="center"/>
          </w:tcPr>
          <w:p w14:paraId="5E062F41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市数据局</w:t>
            </w:r>
          </w:p>
        </w:tc>
      </w:tr>
      <w:tr w14:paraId="38D9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80D1A51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73B43">
            <w:pPr>
              <w:spacing w:line="360" w:lineRule="exact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5G/5G-A基站总数（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万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个）</w:t>
            </w:r>
          </w:p>
        </w:tc>
        <w:tc>
          <w:tcPr>
            <w:tcW w:w="1276" w:type="dxa"/>
            <w:vAlign w:val="center"/>
          </w:tcPr>
          <w:p w14:paraId="1DA29F9C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.46</w:t>
            </w:r>
          </w:p>
        </w:tc>
        <w:tc>
          <w:tcPr>
            <w:tcW w:w="1276" w:type="dxa"/>
            <w:vAlign w:val="center"/>
          </w:tcPr>
          <w:p w14:paraId="664E2E9B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.8</w:t>
            </w:r>
          </w:p>
        </w:tc>
        <w:tc>
          <w:tcPr>
            <w:tcW w:w="1984" w:type="dxa"/>
            <w:vAlign w:val="center"/>
          </w:tcPr>
          <w:p w14:paraId="3366BB4C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市通管办</w:t>
            </w:r>
          </w:p>
        </w:tc>
      </w:tr>
      <w:tr w14:paraId="0556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919EB3D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276C7">
            <w:pPr>
              <w:spacing w:line="360" w:lineRule="exact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千兆宽带用户数（万户）</w:t>
            </w:r>
          </w:p>
        </w:tc>
        <w:tc>
          <w:tcPr>
            <w:tcW w:w="1276" w:type="dxa"/>
            <w:vAlign w:val="center"/>
          </w:tcPr>
          <w:p w14:paraId="48B02D89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9.4</w:t>
            </w:r>
          </w:p>
        </w:tc>
        <w:tc>
          <w:tcPr>
            <w:tcW w:w="1276" w:type="dxa"/>
            <w:vAlign w:val="center"/>
          </w:tcPr>
          <w:p w14:paraId="553047BE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984" w:type="dxa"/>
            <w:vAlign w:val="center"/>
          </w:tcPr>
          <w:p w14:paraId="41BB2B97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市通管办</w:t>
            </w:r>
          </w:p>
        </w:tc>
      </w:tr>
      <w:tr w14:paraId="2C50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07DB444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96B9E">
            <w:pPr>
              <w:spacing w:line="360" w:lineRule="exact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省级以上开发区创建“万兆园区”覆盖率（%）</w:t>
            </w:r>
          </w:p>
        </w:tc>
        <w:tc>
          <w:tcPr>
            <w:tcW w:w="1276" w:type="dxa"/>
            <w:vAlign w:val="center"/>
          </w:tcPr>
          <w:p w14:paraId="0A228137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276" w:type="dxa"/>
            <w:vAlign w:val="center"/>
          </w:tcPr>
          <w:p w14:paraId="68C3D546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984" w:type="dxa"/>
            <w:vAlign w:val="center"/>
          </w:tcPr>
          <w:p w14:paraId="3BD9C468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市通管办</w:t>
            </w:r>
          </w:p>
        </w:tc>
      </w:tr>
      <w:tr w14:paraId="1555C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BA7520A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33096">
            <w:pPr>
              <w:spacing w:line="360" w:lineRule="exact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算力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规模（PFLOPS）</w:t>
            </w:r>
          </w:p>
        </w:tc>
        <w:tc>
          <w:tcPr>
            <w:tcW w:w="1276" w:type="dxa"/>
            <w:vAlign w:val="center"/>
          </w:tcPr>
          <w:p w14:paraId="20BB40E9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26.5</w:t>
            </w:r>
          </w:p>
        </w:tc>
        <w:tc>
          <w:tcPr>
            <w:tcW w:w="1276" w:type="dxa"/>
            <w:vAlign w:val="center"/>
          </w:tcPr>
          <w:p w14:paraId="11661C3B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4000</w:t>
            </w:r>
          </w:p>
        </w:tc>
        <w:tc>
          <w:tcPr>
            <w:tcW w:w="1984" w:type="dxa"/>
            <w:vAlign w:val="center"/>
          </w:tcPr>
          <w:p w14:paraId="1CDA3C52">
            <w:pPr>
              <w:spacing w:line="360" w:lineRule="exact"/>
              <w:jc w:val="center"/>
              <w:outlineLvl w:val="1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市数据局</w:t>
            </w:r>
          </w:p>
        </w:tc>
      </w:tr>
      <w:bookmarkEnd w:id="2"/>
    </w:tbl>
    <w:p w14:paraId="6BE30BE7">
      <w:pPr>
        <w:pStyle w:val="2"/>
        <w:spacing w:line="360" w:lineRule="exact"/>
        <w:ind w:firstLine="0" w:firstLineChars="0"/>
        <w:rPr>
          <w:rFonts w:ascii="方正仿宋_GBK" w:eastAsia="方正仿宋_GBK"/>
          <w:lang w:bidi="ar"/>
        </w:rPr>
      </w:pPr>
    </w:p>
    <w:sectPr>
      <w:footerReference r:id="rId3" w:type="default"/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5FCE0E-573D-4746-938F-CD6ADACA9CD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F96FF10-9A6F-485E-8CC1-FC50EC9F5FD3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EC581E8-D25A-4C7C-A71F-9883744DE2B0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12DD3CE5-8D34-4792-BC1D-89C16F62640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A71A014E-9FB6-48BD-B714-924F2105568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EAD5F">
    <w:pPr>
      <w:pStyle w:val="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-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  <w:p w14:paraId="4D33F4C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2312AB"/>
    <w:rsid w:val="00006853"/>
    <w:rsid w:val="00053DA6"/>
    <w:rsid w:val="00084935"/>
    <w:rsid w:val="0009413C"/>
    <w:rsid w:val="000973CC"/>
    <w:rsid w:val="00097B70"/>
    <w:rsid w:val="00097BA4"/>
    <w:rsid w:val="000B016E"/>
    <w:rsid w:val="000C24C1"/>
    <w:rsid w:val="000F355B"/>
    <w:rsid w:val="00126F0B"/>
    <w:rsid w:val="00131AF3"/>
    <w:rsid w:val="001376AE"/>
    <w:rsid w:val="00157877"/>
    <w:rsid w:val="00166326"/>
    <w:rsid w:val="00170C19"/>
    <w:rsid w:val="00195665"/>
    <w:rsid w:val="001A371D"/>
    <w:rsid w:val="001D1DEA"/>
    <w:rsid w:val="001E69BF"/>
    <w:rsid w:val="001F1916"/>
    <w:rsid w:val="001F3875"/>
    <w:rsid w:val="001F7A9E"/>
    <w:rsid w:val="002602F7"/>
    <w:rsid w:val="00263EB5"/>
    <w:rsid w:val="00264800"/>
    <w:rsid w:val="002857D7"/>
    <w:rsid w:val="00287964"/>
    <w:rsid w:val="00291FB6"/>
    <w:rsid w:val="002A090D"/>
    <w:rsid w:val="002A406E"/>
    <w:rsid w:val="002A7166"/>
    <w:rsid w:val="002B13F0"/>
    <w:rsid w:val="002E0554"/>
    <w:rsid w:val="002F696F"/>
    <w:rsid w:val="003025E3"/>
    <w:rsid w:val="00312FB8"/>
    <w:rsid w:val="00322C0E"/>
    <w:rsid w:val="00326B97"/>
    <w:rsid w:val="00340611"/>
    <w:rsid w:val="00346C21"/>
    <w:rsid w:val="00361B48"/>
    <w:rsid w:val="00372231"/>
    <w:rsid w:val="003B27A2"/>
    <w:rsid w:val="003B6EAA"/>
    <w:rsid w:val="003D15AA"/>
    <w:rsid w:val="003F0E57"/>
    <w:rsid w:val="00416ECF"/>
    <w:rsid w:val="00427880"/>
    <w:rsid w:val="00432D45"/>
    <w:rsid w:val="004344E5"/>
    <w:rsid w:val="00441FBA"/>
    <w:rsid w:val="00446470"/>
    <w:rsid w:val="0045130B"/>
    <w:rsid w:val="0045273B"/>
    <w:rsid w:val="00457418"/>
    <w:rsid w:val="00463908"/>
    <w:rsid w:val="0046440A"/>
    <w:rsid w:val="0048053C"/>
    <w:rsid w:val="00482F03"/>
    <w:rsid w:val="00485A3E"/>
    <w:rsid w:val="004A241A"/>
    <w:rsid w:val="004A7A03"/>
    <w:rsid w:val="004C54DF"/>
    <w:rsid w:val="004C6E0C"/>
    <w:rsid w:val="004D1D63"/>
    <w:rsid w:val="004D4C90"/>
    <w:rsid w:val="004D4F64"/>
    <w:rsid w:val="004F1B24"/>
    <w:rsid w:val="004F3232"/>
    <w:rsid w:val="004F4B0F"/>
    <w:rsid w:val="0050426B"/>
    <w:rsid w:val="00520A35"/>
    <w:rsid w:val="005315C8"/>
    <w:rsid w:val="005356BF"/>
    <w:rsid w:val="00545D00"/>
    <w:rsid w:val="005461D9"/>
    <w:rsid w:val="00560095"/>
    <w:rsid w:val="00561292"/>
    <w:rsid w:val="00564141"/>
    <w:rsid w:val="00583AEB"/>
    <w:rsid w:val="00584CA5"/>
    <w:rsid w:val="005B026C"/>
    <w:rsid w:val="005B3173"/>
    <w:rsid w:val="005C3F01"/>
    <w:rsid w:val="005D1862"/>
    <w:rsid w:val="005D2D17"/>
    <w:rsid w:val="005D46E0"/>
    <w:rsid w:val="005E4F13"/>
    <w:rsid w:val="005F71F1"/>
    <w:rsid w:val="006014F7"/>
    <w:rsid w:val="00631D32"/>
    <w:rsid w:val="006325D8"/>
    <w:rsid w:val="00651F7F"/>
    <w:rsid w:val="00661B49"/>
    <w:rsid w:val="006C1D02"/>
    <w:rsid w:val="006C285E"/>
    <w:rsid w:val="006D5CA4"/>
    <w:rsid w:val="006E2F05"/>
    <w:rsid w:val="00700D6C"/>
    <w:rsid w:val="00707E19"/>
    <w:rsid w:val="00750475"/>
    <w:rsid w:val="007573BE"/>
    <w:rsid w:val="007642E4"/>
    <w:rsid w:val="007651E3"/>
    <w:rsid w:val="0077197A"/>
    <w:rsid w:val="007B1AE2"/>
    <w:rsid w:val="007F2BEF"/>
    <w:rsid w:val="00801544"/>
    <w:rsid w:val="0081798C"/>
    <w:rsid w:val="00835482"/>
    <w:rsid w:val="008366EE"/>
    <w:rsid w:val="00852FA0"/>
    <w:rsid w:val="0086230D"/>
    <w:rsid w:val="0088676B"/>
    <w:rsid w:val="00891411"/>
    <w:rsid w:val="008A3923"/>
    <w:rsid w:val="008D531C"/>
    <w:rsid w:val="008E7A26"/>
    <w:rsid w:val="008F5503"/>
    <w:rsid w:val="008F7368"/>
    <w:rsid w:val="00916C51"/>
    <w:rsid w:val="00937509"/>
    <w:rsid w:val="00944865"/>
    <w:rsid w:val="00954638"/>
    <w:rsid w:val="009609F0"/>
    <w:rsid w:val="00961CBE"/>
    <w:rsid w:val="00991BBC"/>
    <w:rsid w:val="009944D3"/>
    <w:rsid w:val="00995448"/>
    <w:rsid w:val="009C4D24"/>
    <w:rsid w:val="009D2E17"/>
    <w:rsid w:val="009E03E1"/>
    <w:rsid w:val="009E6A07"/>
    <w:rsid w:val="009F6DF5"/>
    <w:rsid w:val="00A014F8"/>
    <w:rsid w:val="00A0577E"/>
    <w:rsid w:val="00A0614E"/>
    <w:rsid w:val="00A178BE"/>
    <w:rsid w:val="00A24137"/>
    <w:rsid w:val="00A244C3"/>
    <w:rsid w:val="00A31FD5"/>
    <w:rsid w:val="00A43992"/>
    <w:rsid w:val="00A47D35"/>
    <w:rsid w:val="00A73FE3"/>
    <w:rsid w:val="00A907B9"/>
    <w:rsid w:val="00AE16E3"/>
    <w:rsid w:val="00AE649C"/>
    <w:rsid w:val="00AE7A52"/>
    <w:rsid w:val="00B01912"/>
    <w:rsid w:val="00B241F9"/>
    <w:rsid w:val="00B243B2"/>
    <w:rsid w:val="00B47050"/>
    <w:rsid w:val="00B473D6"/>
    <w:rsid w:val="00B53ADC"/>
    <w:rsid w:val="00B6482F"/>
    <w:rsid w:val="00B96B6D"/>
    <w:rsid w:val="00BA232E"/>
    <w:rsid w:val="00BA3293"/>
    <w:rsid w:val="00BD247B"/>
    <w:rsid w:val="00BE15C8"/>
    <w:rsid w:val="00BE263D"/>
    <w:rsid w:val="00BE6BF5"/>
    <w:rsid w:val="00C020B3"/>
    <w:rsid w:val="00C0661C"/>
    <w:rsid w:val="00C077F2"/>
    <w:rsid w:val="00C125D4"/>
    <w:rsid w:val="00C13EF7"/>
    <w:rsid w:val="00C27FB0"/>
    <w:rsid w:val="00C40B93"/>
    <w:rsid w:val="00C42804"/>
    <w:rsid w:val="00C45384"/>
    <w:rsid w:val="00C60669"/>
    <w:rsid w:val="00C67CAD"/>
    <w:rsid w:val="00C81E79"/>
    <w:rsid w:val="00C97A87"/>
    <w:rsid w:val="00CA2601"/>
    <w:rsid w:val="00CA3648"/>
    <w:rsid w:val="00CA52BB"/>
    <w:rsid w:val="00CB5455"/>
    <w:rsid w:val="00CB58E1"/>
    <w:rsid w:val="00CC4436"/>
    <w:rsid w:val="00CE071D"/>
    <w:rsid w:val="00CE1F85"/>
    <w:rsid w:val="00CF0258"/>
    <w:rsid w:val="00D24917"/>
    <w:rsid w:val="00D53998"/>
    <w:rsid w:val="00D645B5"/>
    <w:rsid w:val="00D7410B"/>
    <w:rsid w:val="00D903AE"/>
    <w:rsid w:val="00D928D5"/>
    <w:rsid w:val="00DA1CE4"/>
    <w:rsid w:val="00DA5DF5"/>
    <w:rsid w:val="00DC06FF"/>
    <w:rsid w:val="00DC2C94"/>
    <w:rsid w:val="00DC30AD"/>
    <w:rsid w:val="00DD0B8C"/>
    <w:rsid w:val="00DD218B"/>
    <w:rsid w:val="00DE4CAE"/>
    <w:rsid w:val="00E003B8"/>
    <w:rsid w:val="00E04EB6"/>
    <w:rsid w:val="00E340D9"/>
    <w:rsid w:val="00E4429A"/>
    <w:rsid w:val="00E63433"/>
    <w:rsid w:val="00E74611"/>
    <w:rsid w:val="00E86BB4"/>
    <w:rsid w:val="00E9241E"/>
    <w:rsid w:val="00EA271A"/>
    <w:rsid w:val="00EA27D3"/>
    <w:rsid w:val="00EA3C50"/>
    <w:rsid w:val="00EC01EC"/>
    <w:rsid w:val="00EC1204"/>
    <w:rsid w:val="00EE29C8"/>
    <w:rsid w:val="00EF0E41"/>
    <w:rsid w:val="00EF5360"/>
    <w:rsid w:val="00F10B0C"/>
    <w:rsid w:val="00F209BC"/>
    <w:rsid w:val="00F330B8"/>
    <w:rsid w:val="00F37384"/>
    <w:rsid w:val="00F50015"/>
    <w:rsid w:val="00F664FF"/>
    <w:rsid w:val="00F81156"/>
    <w:rsid w:val="00F91C5F"/>
    <w:rsid w:val="00FB264D"/>
    <w:rsid w:val="00FB4EA1"/>
    <w:rsid w:val="00FC69EC"/>
    <w:rsid w:val="00FC7AA2"/>
    <w:rsid w:val="00FE05DE"/>
    <w:rsid w:val="00FE32B3"/>
    <w:rsid w:val="00FE3DAA"/>
    <w:rsid w:val="00FF76C3"/>
    <w:rsid w:val="01595AC0"/>
    <w:rsid w:val="07CF4038"/>
    <w:rsid w:val="09B83876"/>
    <w:rsid w:val="0DEF3556"/>
    <w:rsid w:val="102312AB"/>
    <w:rsid w:val="106A7E38"/>
    <w:rsid w:val="15347304"/>
    <w:rsid w:val="262648D2"/>
    <w:rsid w:val="2C765736"/>
    <w:rsid w:val="2DEC7E24"/>
    <w:rsid w:val="2E13787C"/>
    <w:rsid w:val="30FE4FC3"/>
    <w:rsid w:val="32727B7A"/>
    <w:rsid w:val="35A47569"/>
    <w:rsid w:val="41FE65E3"/>
    <w:rsid w:val="463A5B24"/>
    <w:rsid w:val="46BA615D"/>
    <w:rsid w:val="4BE4671D"/>
    <w:rsid w:val="4CC748AA"/>
    <w:rsid w:val="4D9B6DF0"/>
    <w:rsid w:val="58EB7B73"/>
    <w:rsid w:val="5CCD789B"/>
    <w:rsid w:val="61656152"/>
    <w:rsid w:val="66CD7DE8"/>
    <w:rsid w:val="71657A0F"/>
    <w:rsid w:val="747645E0"/>
    <w:rsid w:val="FFADB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overflowPunct w:val="0"/>
      <w:topLinePunct/>
      <w:ind w:firstLine="632" w:firstLineChars="200"/>
    </w:pPr>
    <w:rPr>
      <w:rFonts w:ascii="Times New Roman" w:hAnsi="Times New Roman" w:eastAsia="仿宋_GB2312" w:cs="Times New Roman"/>
      <w:spacing w:val="-6"/>
      <w:sz w:val="32"/>
      <w:szCs w:val="32"/>
    </w:rPr>
  </w:style>
  <w:style w:type="paragraph" w:styleId="3">
    <w:name w:val="Normal Indent"/>
    <w:basedOn w:val="1"/>
    <w:unhideWhenUsed/>
    <w:qFormat/>
    <w:uiPriority w:val="99"/>
    <w:pPr>
      <w:spacing w:line="560" w:lineRule="exact"/>
      <w:ind w:firstLine="640" w:firstLineChars="200"/>
      <w:jc w:val="right"/>
    </w:pPr>
    <w:rPr>
      <w:rFonts w:ascii="楷体_GB2312" w:hAnsi="Times New Roman" w:eastAsia="楷体_GB2312"/>
      <w:sz w:val="32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1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6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17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修订5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822292FA-47EB-414D-ADE4-E185A02EF0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5329</Words>
  <Characters>5526</Characters>
  <Lines>40</Lines>
  <Paragraphs>11</Paragraphs>
  <TotalTime>16</TotalTime>
  <ScaleCrop>false</ScaleCrop>
  <LinksUpToDate>false</LinksUpToDate>
  <CharactersWithSpaces>5544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2025-07-11T03:05:00Z</dcterms:created>
  <dc:creator>周祥</dc:creator>
  <cp:lastModifiedBy>何事秋风悲画扇</cp:lastModifiedBy>
  <cp:lastPrinted>2025-07-13T09:39:00Z</cp:lastPrinted>
  <dcterms:modified xsi:type="dcterms:W3CDTF">2025-07-16T03:27:44Z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9D3AD8E71B8BAC22886A7068C7F2B305_43</vt:lpwstr>
  </property>
  <property fmtid="{D5CDD505-2E9C-101B-9397-08002B2CF9AE}" pid="4" name="KSOTemplateDocerSaveRecord">
    <vt:lpwstr>eyJoZGlkIjoiNDU4Yzc1YWQ1YmIxZTBjZjVlYzRhNjdmNDY1MjVjNWQiLCJ1c2VySWQiOiI0NDUxMDQzNTAifQ==</vt:lpwstr>
  </property>
</Properties>
</file>