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7D" w:rsidRDefault="001E0836">
      <w:pPr>
        <w:pStyle w:val="1"/>
        <w:autoSpaceDE w:val="0"/>
        <w:autoSpaceDN w:val="0"/>
        <w:snapToGrid w:val="0"/>
        <w:spacing w:line="590" w:lineRule="exact"/>
        <w:rPr>
          <w:rFonts w:ascii="Times New Roman" w:hAnsi="Times New Roman" w:cs="Times New Roman"/>
        </w:rPr>
      </w:pPr>
      <w:r>
        <w:rPr>
          <w:rFonts w:ascii="Times New Roman" w:hint="eastAsia"/>
        </w:rPr>
        <w:t>淮安市公共资源交易目录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版）</w:t>
      </w:r>
    </w:p>
    <w:p w:rsidR="00A2387D" w:rsidRDefault="001E0836">
      <w:pPr>
        <w:pStyle w:val="a3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征求意见稿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175"/>
        <w:gridCol w:w="836"/>
        <w:gridCol w:w="2492"/>
        <w:gridCol w:w="1446"/>
        <w:gridCol w:w="1754"/>
        <w:gridCol w:w="1431"/>
      </w:tblGrid>
      <w:tr w:rsidR="00A2387D">
        <w:trPr>
          <w:trHeight w:val="397"/>
          <w:tblHeader/>
          <w:jc w:val="center"/>
        </w:trPr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编号</w:t>
            </w: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项目</w:t>
            </w:r>
          </w:p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类别</w:t>
            </w:r>
          </w:p>
        </w:tc>
        <w:tc>
          <w:tcPr>
            <w:tcW w:w="3328" w:type="dxa"/>
            <w:gridSpan w:val="2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项目名称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规模标准</w:t>
            </w:r>
          </w:p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及范围</w:t>
            </w:r>
          </w:p>
        </w:tc>
        <w:tc>
          <w:tcPr>
            <w:tcW w:w="1754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行政监督</w:t>
            </w:r>
          </w:p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部门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备注</w:t>
            </w:r>
          </w:p>
        </w:tc>
      </w:tr>
      <w:tr w:rsidR="00A2387D">
        <w:trPr>
          <w:trHeight w:val="397"/>
          <w:jc w:val="center"/>
        </w:trPr>
        <w:tc>
          <w:tcPr>
            <w:tcW w:w="9754" w:type="dxa"/>
            <w:gridSpan w:val="7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Times New Roman" w:eastAsia="方正楷体_GBK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工程招标</w:t>
            </w: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A01</w:t>
            </w:r>
          </w:p>
        </w:tc>
        <w:tc>
          <w:tcPr>
            <w:tcW w:w="11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依法必须招标的工程建设项目招标投标（包括工程以及与工程有关的货物、服务）</w:t>
            </w: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A0101</w:t>
            </w:r>
          </w:p>
        </w:tc>
        <w:tc>
          <w:tcPr>
            <w:tcW w:w="2492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房屋建筑和市政基础设施（含城市轨道交通、园林绿化）工程</w:t>
            </w:r>
          </w:p>
        </w:tc>
        <w:tc>
          <w:tcPr>
            <w:tcW w:w="1446" w:type="dxa"/>
            <w:vMerge w:val="restart"/>
            <w:tcMar>
              <w:left w:w="28" w:type="dxa"/>
              <w:right w:w="28" w:type="dxa"/>
            </w:tcMar>
          </w:tcPr>
          <w:p w:rsidR="00A2387D" w:rsidRDefault="001E0836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按照《必须招标的工程项目规定》（中华人民共和国国家发展和改革委员会令第</w:t>
            </w:r>
            <w:r>
              <w:rPr>
                <w:rFonts w:ascii="Times New Roman" w:eastAsia="方正仿宋_GBK" w:hAnsi="Times New Roman" w:cs="Times New Roman"/>
                <w:sz w:val="24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号）、《必须招标的基础设施和公用事业项目范围规定》（发改法规规〔</w:t>
            </w:r>
            <w:r>
              <w:rPr>
                <w:rFonts w:ascii="Times New Roman" w:eastAsia="方正仿宋_GBK" w:hAnsi="Times New Roman" w:cs="Times New Roman"/>
                <w:sz w:val="24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〕</w:t>
            </w:r>
            <w:r>
              <w:rPr>
                <w:rFonts w:ascii="Times New Roman" w:eastAsia="方正仿宋_GBK" w:hAnsi="Times New Roman" w:cs="Times New Roman"/>
                <w:sz w:val="24"/>
              </w:rPr>
              <w:t>843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号）和《国家发展改革委办公厅关于进一步做好〈必须招标的工程项目规定〉和〈必须招标的基础设施和公用事业项目范围规定〉实施工作的通知》（发改办法规〔</w:t>
            </w:r>
            <w:r>
              <w:rPr>
                <w:rFonts w:ascii="Times New Roman" w:eastAsia="方正仿宋_GBK" w:hAnsi="Times New Roman" w:cs="Times New Roman"/>
                <w:sz w:val="24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〕</w:t>
            </w:r>
            <w:r>
              <w:rPr>
                <w:rFonts w:ascii="Times New Roman" w:eastAsia="方正仿宋_GBK" w:hAnsi="Times New Roman" w:cs="Times New Roman"/>
                <w:sz w:val="24"/>
              </w:rPr>
              <w:t>770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号）执行。</w:t>
            </w:r>
          </w:p>
        </w:tc>
        <w:tc>
          <w:tcPr>
            <w:tcW w:w="1754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市住建局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A0102</w:t>
            </w:r>
          </w:p>
        </w:tc>
        <w:tc>
          <w:tcPr>
            <w:tcW w:w="2492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交通运输（公路、水运）建设工程</w:t>
            </w:r>
          </w:p>
        </w:tc>
        <w:tc>
          <w:tcPr>
            <w:tcW w:w="1446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54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市交通局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A0103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水利工程</w:t>
            </w:r>
          </w:p>
        </w:tc>
        <w:tc>
          <w:tcPr>
            <w:tcW w:w="1446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54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市水利局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A010</w:t>
            </w: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国土资源工程</w:t>
            </w:r>
          </w:p>
        </w:tc>
        <w:tc>
          <w:tcPr>
            <w:tcW w:w="1446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市自然资源</w:t>
            </w:r>
            <w:r w:rsidR="00211CF5">
              <w:rPr>
                <w:rFonts w:ascii="方正仿宋_GBK" w:eastAsia="方正仿宋_GBK" w:hAnsi="方正仿宋_GBK" w:cs="方正仿宋_GBK" w:hint="eastAsia"/>
                <w:sz w:val="24"/>
              </w:rPr>
              <w:t>和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规划局</w:t>
            </w:r>
          </w:p>
        </w:tc>
        <w:tc>
          <w:tcPr>
            <w:tcW w:w="14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A0105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林业工程</w:t>
            </w:r>
          </w:p>
        </w:tc>
        <w:tc>
          <w:tcPr>
            <w:tcW w:w="1446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54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31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A010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煤炭、石油、天然气、电力、新能源等市属国资能源企业投资的能源基础设施工程</w:t>
            </w:r>
          </w:p>
        </w:tc>
        <w:tc>
          <w:tcPr>
            <w:tcW w:w="1446" w:type="dxa"/>
            <w:vMerge/>
            <w:tcMar>
              <w:left w:w="28" w:type="dxa"/>
              <w:right w:w="28" w:type="dxa"/>
            </w:tcMar>
          </w:tcPr>
          <w:p w:rsidR="00A2387D" w:rsidRDefault="00A2387D">
            <w:pPr>
              <w:adjustRightInd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54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国家确定的行政监督部门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A010</w:t>
            </w:r>
            <w:r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农业（含农田建设）工程</w:t>
            </w:r>
          </w:p>
        </w:tc>
        <w:tc>
          <w:tcPr>
            <w:tcW w:w="1446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县区农业农村（农业农村和水利局）</w:t>
            </w:r>
          </w:p>
        </w:tc>
        <w:tc>
          <w:tcPr>
            <w:tcW w:w="14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A010</w:t>
            </w:r>
            <w:r>
              <w:rPr>
                <w:rFonts w:ascii="Times New Roman" w:hAnsi="Times New Roman" w:cs="Times New Roman" w:hint="eastAsia"/>
                <w:sz w:val="24"/>
              </w:rPr>
              <w:t>8</w:t>
            </w:r>
          </w:p>
        </w:tc>
        <w:tc>
          <w:tcPr>
            <w:tcW w:w="2492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渔港渔业工程</w:t>
            </w:r>
          </w:p>
        </w:tc>
        <w:tc>
          <w:tcPr>
            <w:tcW w:w="1446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54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31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A01</w:t>
            </w:r>
            <w:r>
              <w:rPr>
                <w:rFonts w:ascii="Times New Roman" w:hAnsi="Times New Roman" w:cs="Times New Roman" w:hint="eastAsia"/>
                <w:sz w:val="24"/>
              </w:rPr>
              <w:t>09</w:t>
            </w:r>
          </w:p>
        </w:tc>
        <w:tc>
          <w:tcPr>
            <w:tcW w:w="2492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工业和信息化工程</w:t>
            </w:r>
          </w:p>
        </w:tc>
        <w:tc>
          <w:tcPr>
            <w:tcW w:w="1446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54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市工信局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A01</w:t>
            </w:r>
            <w:r>
              <w:rPr>
                <w:rFonts w:ascii="Times New Roman" w:hAnsi="Times New Roman" w:cs="Times New Roman" w:hint="eastAsia"/>
                <w:sz w:val="24"/>
              </w:rPr>
              <w:t>10</w:t>
            </w:r>
          </w:p>
        </w:tc>
        <w:tc>
          <w:tcPr>
            <w:tcW w:w="2492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生态环境保护（含土壤修复）工程</w:t>
            </w:r>
          </w:p>
        </w:tc>
        <w:tc>
          <w:tcPr>
            <w:tcW w:w="1446" w:type="dxa"/>
            <w:vMerge/>
            <w:tcMar>
              <w:left w:w="28" w:type="dxa"/>
              <w:right w:w="28" w:type="dxa"/>
            </w:tcMar>
          </w:tcPr>
          <w:p w:rsidR="00A2387D" w:rsidRDefault="00A2387D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54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市生态环境局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A011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2492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商物粮、内贸、储（蓄）能、管道、广电、文化旅游、体育、港口、气象、地震、人防等依法必须招标的其他工程建设项目</w:t>
            </w:r>
          </w:p>
        </w:tc>
        <w:tc>
          <w:tcPr>
            <w:tcW w:w="1446" w:type="dxa"/>
            <w:vMerge/>
            <w:tcMar>
              <w:left w:w="28" w:type="dxa"/>
              <w:right w:w="28" w:type="dxa"/>
            </w:tcMar>
          </w:tcPr>
          <w:p w:rsidR="00A2387D" w:rsidRDefault="00A2387D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54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有关行业行政</w:t>
            </w:r>
          </w:p>
          <w:p w:rsidR="00A2387D" w:rsidRDefault="001E083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主管部门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9754" w:type="dxa"/>
            <w:gridSpan w:val="7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left"/>
              <w:rPr>
                <w:rFonts w:ascii="Times New Roman" w:eastAsia="方正楷体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B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、采购类</w:t>
            </w: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B01</w:t>
            </w:r>
          </w:p>
        </w:tc>
        <w:tc>
          <w:tcPr>
            <w:tcW w:w="11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公立医院货物服务采购</w:t>
            </w:r>
          </w:p>
        </w:tc>
        <w:tc>
          <w:tcPr>
            <w:tcW w:w="83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B0101</w:t>
            </w:r>
          </w:p>
        </w:tc>
        <w:tc>
          <w:tcPr>
            <w:tcW w:w="2492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医用设备（单项、一次性批量采购）</w:t>
            </w:r>
          </w:p>
        </w:tc>
        <w:tc>
          <w:tcPr>
            <w:tcW w:w="1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市卫健委</w:t>
            </w:r>
          </w:p>
        </w:tc>
        <w:tc>
          <w:tcPr>
            <w:tcW w:w="14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3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B0102</w:t>
            </w:r>
          </w:p>
        </w:tc>
        <w:tc>
          <w:tcPr>
            <w:tcW w:w="2492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服务及非医用性货物等采购</w:t>
            </w:r>
          </w:p>
        </w:tc>
        <w:tc>
          <w:tcPr>
            <w:tcW w:w="1446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54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31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87D">
        <w:trPr>
          <w:trHeight w:val="955"/>
          <w:jc w:val="center"/>
        </w:trPr>
        <w:tc>
          <w:tcPr>
            <w:tcW w:w="6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lastRenderedPageBreak/>
              <w:t>B02</w:t>
            </w:r>
          </w:p>
        </w:tc>
        <w:tc>
          <w:tcPr>
            <w:tcW w:w="11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政府采购</w:t>
            </w: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B0201</w:t>
            </w:r>
          </w:p>
        </w:tc>
        <w:tc>
          <w:tcPr>
            <w:tcW w:w="2492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集中采购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项目范围根据江苏省财政厅公布的《政府集中采购目录及标准》执行</w:t>
            </w:r>
          </w:p>
        </w:tc>
        <w:tc>
          <w:tcPr>
            <w:tcW w:w="17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市财政局</w:t>
            </w:r>
          </w:p>
        </w:tc>
        <w:tc>
          <w:tcPr>
            <w:tcW w:w="14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A2387D">
        <w:trPr>
          <w:trHeight w:val="955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jc w:val="center"/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jc w:val="center"/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eastAsia="宋体"/>
              </w:rPr>
            </w:pPr>
            <w:r>
              <w:rPr>
                <w:rFonts w:ascii="Times New Roman" w:hAnsi="Times New Roman" w:cs="Times New Roman"/>
                <w:sz w:val="24"/>
              </w:rPr>
              <w:t>B0202</w:t>
            </w:r>
          </w:p>
        </w:tc>
        <w:tc>
          <w:tcPr>
            <w:tcW w:w="2492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分散采购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eastAsia="宋体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按照我市分散采购限额标准执行</w:t>
            </w:r>
          </w:p>
        </w:tc>
        <w:tc>
          <w:tcPr>
            <w:tcW w:w="1754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jc w:val="center"/>
            </w:pPr>
          </w:p>
        </w:tc>
        <w:tc>
          <w:tcPr>
            <w:tcW w:w="1431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jc w:val="center"/>
            </w:pPr>
          </w:p>
        </w:tc>
      </w:tr>
      <w:tr w:rsidR="00A2387D">
        <w:trPr>
          <w:trHeight w:val="397"/>
          <w:jc w:val="center"/>
        </w:trPr>
        <w:tc>
          <w:tcPr>
            <w:tcW w:w="9754" w:type="dxa"/>
            <w:gridSpan w:val="7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left"/>
              <w:rPr>
                <w:rFonts w:ascii="Times New Roman" w:eastAsia="方正楷体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C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、资源资产类</w:t>
            </w:r>
          </w:p>
        </w:tc>
      </w:tr>
      <w:tr w:rsidR="00A2387D">
        <w:trPr>
          <w:trHeight w:val="397"/>
          <w:jc w:val="center"/>
        </w:trPr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C01</w:t>
            </w: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土地使用权交易</w:t>
            </w: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C0101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国有建设用地使用权交易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市自然资源</w:t>
            </w:r>
            <w:r w:rsidR="00211CF5">
              <w:rPr>
                <w:rFonts w:ascii="方正仿宋_GBK" w:eastAsia="方正仿宋_GBK" w:hAnsi="方正仿宋_GBK" w:cs="方正仿宋_GBK" w:hint="eastAsia"/>
                <w:sz w:val="24"/>
              </w:rPr>
              <w:t>和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规划局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C02</w:t>
            </w:r>
          </w:p>
        </w:tc>
        <w:tc>
          <w:tcPr>
            <w:tcW w:w="11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矿业权出让</w:t>
            </w: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C0201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探矿权、采矿权出让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招标、拍卖、挂牌出让项目</w:t>
            </w:r>
          </w:p>
        </w:tc>
        <w:tc>
          <w:tcPr>
            <w:tcW w:w="1754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C0202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采砂权出让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市水利局</w:t>
            </w:r>
          </w:p>
        </w:tc>
        <w:tc>
          <w:tcPr>
            <w:tcW w:w="14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C03</w:t>
            </w: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河流资源交易</w:t>
            </w: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C0301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小型水利项目开发经营权有偿出让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31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C0</w:t>
            </w: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11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水权交易</w:t>
            </w: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C0</w:t>
            </w: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区域水权交易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市水利局</w:t>
            </w:r>
          </w:p>
        </w:tc>
        <w:tc>
          <w:tcPr>
            <w:tcW w:w="14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C0</w:t>
            </w: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取水权交易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31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C0</w:t>
            </w:r>
            <w:r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国有产权交易</w:t>
            </w: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C0</w:t>
            </w: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国有及国有控股企业、国有实际控制企业产权转让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出资人代表机构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经批准以协议方式的除外；</w:t>
            </w:r>
            <w:r>
              <w:rPr>
                <w:rFonts w:ascii="Times New Roman" w:eastAsia="方正仿宋_GBK" w:hAnsi="Times New Roman" w:cs="Times New Roman"/>
                <w:sz w:val="24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进入相应的公共资源交易中心或依法设立的产权交易机构交易。</w:t>
            </w:r>
          </w:p>
        </w:tc>
      </w:tr>
      <w:tr w:rsidR="00A2387D">
        <w:trPr>
          <w:trHeight w:val="397"/>
          <w:jc w:val="center"/>
        </w:trPr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C0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国有企业增资</w:t>
            </w: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C0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国有及国有控股企业、国有实际控制企业增加资本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出资人代表机构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经批准以协议方式的除外；</w:t>
            </w:r>
            <w:r>
              <w:rPr>
                <w:rFonts w:ascii="Times New Roman" w:eastAsia="方正仿宋_GBK" w:hAnsi="Times New Roman" w:cs="Times New Roman"/>
                <w:sz w:val="24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进入相应的公共资源交易中心或依法设立的产权交易机构交易。</w:t>
            </w: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</w:rPr>
              <w:t>07</w:t>
            </w:r>
          </w:p>
        </w:tc>
        <w:tc>
          <w:tcPr>
            <w:tcW w:w="11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实物资产交易</w:t>
            </w: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</w:rPr>
              <w:t>07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国有及国有控股企业、国有实际控制企业的实物资产（房屋、车辆、设备以及其他物资）转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让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所有项目</w:t>
            </w:r>
          </w:p>
        </w:tc>
        <w:tc>
          <w:tcPr>
            <w:tcW w:w="1754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出资人代表机构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经批准以协议方式的除外；</w:t>
            </w:r>
            <w:r>
              <w:rPr>
                <w:rFonts w:ascii="Times New Roman" w:eastAsia="方正仿宋_GBK" w:hAnsi="Times New Roman" w:cs="Times New Roman"/>
                <w:sz w:val="24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进入相应的公共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资源交易中心或依法设立的产权交易机构交易。</w:t>
            </w: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</w:rPr>
              <w:t>07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国有及国有控股企业、国有实际控制企业的实物资产（房屋、车辆、设备以及其他物资）出租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出资人代表机构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进入相应的公共资源交易中心或依法设立的产权交易机构交易。</w:t>
            </w: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</w:rPr>
              <w:t>07</w:t>
            </w:r>
            <w:r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行政机关、事业单位、人民团体的国有资产（房屋、车辆、设备，以及其他物资）出售、转让与出租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市财政局</w:t>
            </w:r>
          </w:p>
        </w:tc>
        <w:tc>
          <w:tcPr>
            <w:tcW w:w="14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C0704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司法机关涉诉资产和行政执法部门罚没物品交易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31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C0705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废旧、淘汰物资处置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31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A2387D">
        <w:trPr>
          <w:trHeight w:val="540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</w:rPr>
              <w:t>07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napToGrid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生态保护修复工程余量资源交易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市自然资源</w:t>
            </w:r>
            <w:r w:rsidR="00211CF5">
              <w:rPr>
                <w:rFonts w:ascii="方正仿宋_GBK" w:eastAsia="方正仿宋_GBK" w:hAnsi="方正仿宋_GBK" w:cs="方正仿宋_GBK" w:hint="eastAsia"/>
                <w:sz w:val="24"/>
              </w:rPr>
              <w:t>和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sz w:val="24"/>
              </w:rPr>
              <w:t>规划局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napToGrid w:val="0"/>
                <w:sz w:val="24"/>
                <w:highlight w:val="yellow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</w:rPr>
              <w:t>08</w:t>
            </w:r>
          </w:p>
        </w:tc>
        <w:tc>
          <w:tcPr>
            <w:tcW w:w="11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无形资产交易</w:t>
            </w: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</w:rPr>
              <w:t>08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城市供水、供气等特许经营权授予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市住建局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</w:rPr>
              <w:t>08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pacing w:val="-8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8"/>
                <w:sz w:val="24"/>
              </w:rPr>
              <w:t>主要污染物（污水）处理特许经营权授予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</w:rPr>
              <w:t>08</w:t>
            </w:r>
            <w:r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公共场地及市政公用设施使用权、承包经营权、冠名权有偿转让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</w:rPr>
              <w:t>08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公共空间户外广告经营权出让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市城管局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C0805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8"/>
                <w:sz w:val="24"/>
              </w:rPr>
              <w:t>主要污染物（生活垃圾，污泥）处理特许经营权授予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</w:rPr>
              <w:t>08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城市出租车经营权出让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市交通局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</w:rPr>
              <w:t>08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道路客运班线经营权出让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</w:rPr>
              <w:t>08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</w:rPr>
              <w:t>8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国有企业、行政机关、事业单位、人民团体组织的大型活动、体育赛事经营权、冠名权有偿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转让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所有项目</w:t>
            </w:r>
          </w:p>
        </w:tc>
        <w:tc>
          <w:tcPr>
            <w:tcW w:w="1754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相关行政</w:t>
            </w:r>
          </w:p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主管部门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C</w:t>
            </w:r>
            <w:r>
              <w:rPr>
                <w:rFonts w:ascii="Times New Roman" w:hAnsi="Times New Roman" w:cs="Times New Roman" w:hint="eastAsia"/>
                <w:sz w:val="24"/>
              </w:rPr>
              <w:t>09</w:t>
            </w:r>
          </w:p>
        </w:tc>
        <w:tc>
          <w:tcPr>
            <w:tcW w:w="11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农村集体产权交易</w:t>
            </w: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</w:rPr>
              <w:t>09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农村集体土地经营权流转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市农业农村局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</w:rPr>
              <w:t>09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农村集体经营性资产出租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</w:rPr>
              <w:t>09</w:t>
            </w:r>
            <w:r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农村集体持有资产收益权转让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vMerge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A2387D">
        <w:trPr>
          <w:trHeight w:val="397"/>
          <w:jc w:val="center"/>
        </w:trPr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C1</w:t>
            </w:r>
            <w:r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供销合作社社有资产交易</w:t>
            </w: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C1</w:t>
            </w: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left"/>
              <w:rPr>
                <w:rFonts w:ascii="方正仿宋_GBK" w:eastAsia="方正仿宋_GBK" w:hAnsi="方正仿宋_GBK" w:cs="方正仿宋_GBK"/>
                <w:snapToGrid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供销合作社全资、控股和实际控制企业资产（产权）转让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市供销社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经批准划转和协议转让的除外</w:t>
            </w:r>
          </w:p>
        </w:tc>
      </w:tr>
      <w:tr w:rsidR="00A2387D">
        <w:trPr>
          <w:trHeight w:val="397"/>
          <w:jc w:val="center"/>
        </w:trPr>
        <w:tc>
          <w:tcPr>
            <w:tcW w:w="9754" w:type="dxa"/>
            <w:gridSpan w:val="7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left"/>
              <w:rPr>
                <w:rFonts w:ascii="Times New Roman" w:eastAsia="方正楷体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D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、环境权类</w:t>
            </w:r>
          </w:p>
        </w:tc>
      </w:tr>
      <w:tr w:rsidR="00A2387D">
        <w:trPr>
          <w:trHeight w:val="397"/>
          <w:jc w:val="center"/>
        </w:trPr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D0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用能权交易</w:t>
            </w:r>
          </w:p>
        </w:tc>
        <w:tc>
          <w:tcPr>
            <w:tcW w:w="83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D0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24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经确认可消费能源量的权利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所有项目</w:t>
            </w:r>
          </w:p>
        </w:tc>
        <w:tc>
          <w:tcPr>
            <w:tcW w:w="1754" w:type="dxa"/>
            <w:tcMar>
              <w:left w:w="28" w:type="dxa"/>
              <w:right w:w="28" w:type="dxa"/>
            </w:tcMar>
            <w:vAlign w:val="center"/>
          </w:tcPr>
          <w:p w:rsidR="00A2387D" w:rsidRDefault="001E0836">
            <w:pPr>
              <w:adjustRightIn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市发改委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A2387D" w:rsidRDefault="00A2387D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2387D" w:rsidRDefault="00A2387D">
      <w:pPr>
        <w:rPr>
          <w:rFonts w:ascii="方正仿宋_GBK" w:eastAsia="方正仿宋_GBK" w:hAnsi="方正仿宋_GBK" w:cs="方正仿宋_GBK"/>
          <w:sz w:val="32"/>
          <w:szCs w:val="32"/>
        </w:rPr>
      </w:pPr>
    </w:p>
    <w:sectPr w:rsidR="00A2387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C7" w:rsidRDefault="005152C7">
      <w:r>
        <w:separator/>
      </w:r>
    </w:p>
  </w:endnote>
  <w:endnote w:type="continuationSeparator" w:id="0">
    <w:p w:rsidR="005152C7" w:rsidRDefault="0051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87D" w:rsidRDefault="001E0836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87D" w:rsidRDefault="001E0836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11CF5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87D" w:rsidRDefault="001E0836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211CF5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C7" w:rsidRDefault="005152C7">
      <w:r>
        <w:separator/>
      </w:r>
    </w:p>
  </w:footnote>
  <w:footnote w:type="continuationSeparator" w:id="0">
    <w:p w:rsidR="005152C7" w:rsidRDefault="00515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7D"/>
    <w:rsid w:val="00040F7B"/>
    <w:rsid w:val="001E0836"/>
    <w:rsid w:val="00211CF5"/>
    <w:rsid w:val="005152C7"/>
    <w:rsid w:val="00A2387D"/>
    <w:rsid w:val="00D57AF8"/>
    <w:rsid w:val="0A704968"/>
    <w:rsid w:val="17556FEA"/>
    <w:rsid w:val="7486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"/>
    <w:qFormat/>
    <w:pPr>
      <w:spacing w:after="120"/>
    </w:pPr>
  </w:style>
  <w:style w:type="paragraph" w:styleId="5">
    <w:name w:val="toc 5"/>
    <w:basedOn w:val="a"/>
    <w:next w:val="a"/>
    <w:uiPriority w:val="39"/>
    <w:unhideWhenUsed/>
    <w:qFormat/>
    <w:pPr>
      <w:ind w:leftChars="800" w:left="1680"/>
    </w:pPr>
    <w:rPr>
      <w:rFonts w:ascii="Times New Roman" w:eastAsia="仿宋_GB2312" w:hAnsi="Times New Roman" w:cs="Times New Roman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"/>
    <w:qFormat/>
    <w:pPr>
      <w:spacing w:after="120"/>
    </w:pPr>
  </w:style>
  <w:style w:type="paragraph" w:styleId="5">
    <w:name w:val="toc 5"/>
    <w:basedOn w:val="a"/>
    <w:next w:val="a"/>
    <w:uiPriority w:val="39"/>
    <w:unhideWhenUsed/>
    <w:qFormat/>
    <w:pPr>
      <w:ind w:leftChars="800" w:left="1680"/>
    </w:pPr>
    <w:rPr>
      <w:rFonts w:ascii="Times New Roman" w:eastAsia="仿宋_GB2312" w:hAnsi="Times New Roman" w:cs="Times New Roman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</Words>
  <Characters>1864</Characters>
  <Application>Microsoft Office Word</Application>
  <DocSecurity>0</DocSecurity>
  <Lines>15</Lines>
  <Paragraphs>4</Paragraphs>
  <ScaleCrop>false</ScaleCrop>
  <Company>P R C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2025-04-23T03:16:00Z</dcterms:created>
  <dcterms:modified xsi:type="dcterms:W3CDTF">2025-04-24T01:22:00Z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eyJoZGlkIjoiOGI5YjU0OThiMjllNzhmMzg0OWU2ZDc1MmE2NDRmOTciLCJ1c2VySWQiOiI1MzUxMTU1MjAifQ==</vt:lpwstr>
  </property>
  <property fmtid="{D5CDD505-2E9C-101B-9397-08002B2CF9AE}" pid="4" name="ICV">
    <vt:lpwstr>868749118CED4AF9AE8AF7C4D1D95647_12</vt:lpwstr>
  </property>
</Properties>
</file>